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FD08" w14:textId="4C6C97F4" w:rsidR="005E6248" w:rsidRDefault="005E6248" w:rsidP="005E6248">
      <w:pPr>
        <w:rPr>
          <w:rFonts w:ascii="Calibri" w:eastAsia="Times New Roman" w:hAnsi="Calibri" w:cs="Calibri"/>
          <w:b/>
          <w:bCs/>
          <w:color w:val="212121"/>
          <w:kern w:val="0"/>
          <w:sz w:val="22"/>
          <w:szCs w:val="22"/>
          <w:u w:val="single"/>
          <w14:ligatures w14:val="none"/>
        </w:rPr>
      </w:pPr>
      <w:r w:rsidRPr="005E6248">
        <w:rPr>
          <w:rFonts w:ascii="Calibri" w:eastAsia="Times New Roman" w:hAnsi="Calibri" w:cs="Calibri"/>
          <w:b/>
          <w:bCs/>
          <w:color w:val="212121"/>
          <w:kern w:val="0"/>
          <w:sz w:val="22"/>
          <w:szCs w:val="22"/>
          <w:u w:val="single"/>
          <w14:ligatures w14:val="none"/>
        </w:rPr>
        <w:t>Significant Proposed Updates</w:t>
      </w:r>
      <w:r>
        <w:rPr>
          <w:rFonts w:ascii="Calibri" w:eastAsia="Times New Roman" w:hAnsi="Calibri" w:cs="Calibri"/>
          <w:b/>
          <w:bCs/>
          <w:color w:val="212121"/>
          <w:kern w:val="0"/>
          <w:sz w:val="22"/>
          <w:szCs w:val="22"/>
          <w:u w:val="single"/>
          <w14:ligatures w14:val="none"/>
        </w:rPr>
        <w:t xml:space="preserve"> – 3/26/24</w:t>
      </w:r>
    </w:p>
    <w:p w14:paraId="19F2B904" w14:textId="77777777" w:rsidR="005E6248" w:rsidRPr="005E6248" w:rsidRDefault="005E6248" w:rsidP="005E6248">
      <w:pPr>
        <w:rPr>
          <w:rFonts w:ascii="Calibri" w:eastAsia="Times New Roman" w:hAnsi="Calibri" w:cs="Calibri"/>
          <w:color w:val="212121"/>
          <w:kern w:val="0"/>
          <w:sz w:val="22"/>
          <w:szCs w:val="22"/>
          <w14:ligatures w14:val="none"/>
        </w:rPr>
      </w:pPr>
    </w:p>
    <w:p w14:paraId="3CE5E94F" w14:textId="6CA1F883" w:rsidR="005E6248" w:rsidRPr="005E6248" w:rsidRDefault="005E6248" w:rsidP="005E6248">
      <w:pPr>
        <w:numPr>
          <w:ilvl w:val="0"/>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Recommendations originating from the accreditation review and preparation process</w:t>
      </w:r>
      <w:r>
        <w:rPr>
          <w:rFonts w:ascii="Calibri" w:eastAsia="Times New Roman" w:hAnsi="Calibri" w:cs="Calibri"/>
          <w:color w:val="212121"/>
          <w:kern w:val="0"/>
          <w:sz w:val="22"/>
          <w:szCs w:val="22"/>
          <w14:ligatures w14:val="none"/>
        </w:rPr>
        <w:t>:</w:t>
      </w:r>
      <w:r w:rsidRPr="005E6248">
        <w:rPr>
          <w:rFonts w:ascii="Calibri" w:eastAsia="Times New Roman" w:hAnsi="Calibri" w:cs="Calibri"/>
          <w:color w:val="212121"/>
          <w:kern w:val="0"/>
          <w:sz w:val="22"/>
          <w:szCs w:val="22"/>
          <w14:ligatures w14:val="none"/>
        </w:rPr>
        <w:t> </w:t>
      </w:r>
    </w:p>
    <w:p w14:paraId="5B344786" w14:textId="77777777" w:rsidR="005E6248" w:rsidRPr="005E6248" w:rsidRDefault="005E6248" w:rsidP="005E6248">
      <w:pPr>
        <w:numPr>
          <w:ilvl w:val="1"/>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Insertion of Academic Freedom and Academic responsibilities statements in Article IV</w:t>
      </w:r>
    </w:p>
    <w:p w14:paraId="7FA8D8FC" w14:textId="7CB11CB0" w:rsidR="005E6248" w:rsidRPr="005E6248" w:rsidRDefault="005E6248" w:rsidP="005E6248">
      <w:pPr>
        <w:numPr>
          <w:ilvl w:val="1"/>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Language clarifying that “students must provide complete and truthful information about themselves” in Article V.A. to assist in the process of verifying identify of online students. </w:t>
      </w:r>
    </w:p>
    <w:p w14:paraId="0B993EAD" w14:textId="1CC79E13" w:rsidR="005E6248" w:rsidRPr="005E6248" w:rsidRDefault="005E6248" w:rsidP="005E6248">
      <w:pPr>
        <w:numPr>
          <w:ilvl w:val="0"/>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Consolidation of conduct boards</w:t>
      </w:r>
      <w:r>
        <w:rPr>
          <w:rFonts w:ascii="Calibri" w:eastAsia="Times New Roman" w:hAnsi="Calibri" w:cs="Calibri"/>
          <w:color w:val="212121"/>
          <w:kern w:val="0"/>
          <w:sz w:val="22"/>
          <w:szCs w:val="22"/>
          <w14:ligatures w14:val="none"/>
        </w:rPr>
        <w:t>:</w:t>
      </w:r>
    </w:p>
    <w:p w14:paraId="11062162" w14:textId="77777777" w:rsidR="005E6248" w:rsidRPr="005E6248" w:rsidRDefault="005E6248" w:rsidP="005E6248">
      <w:pPr>
        <w:numPr>
          <w:ilvl w:val="1"/>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This proposal creates one University Conduct board and hearing boards will be populated from this membership as cases arise. The makeup of the hearing board for an academic misconduct case or a general misconduct case will match the makeup of the respective boards in the current interim code. Consolidating the two boards into one allows for more effective training, legal guidance, and logistical management of the board and promotes more consistent and experienced board membership across multiple cases. </w:t>
      </w:r>
    </w:p>
    <w:p w14:paraId="333B585C" w14:textId="31A68B51" w:rsidR="005E6248" w:rsidRPr="005E6248" w:rsidRDefault="005E6248" w:rsidP="005E6248">
      <w:pPr>
        <w:numPr>
          <w:ilvl w:val="0"/>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Addressing risk areas identified by Internal Audit</w:t>
      </w:r>
      <w:r>
        <w:rPr>
          <w:rFonts w:ascii="Calibri" w:eastAsia="Times New Roman" w:hAnsi="Calibri" w:cs="Calibri"/>
          <w:color w:val="212121"/>
          <w:kern w:val="0"/>
          <w:sz w:val="22"/>
          <w:szCs w:val="22"/>
          <w14:ligatures w14:val="none"/>
        </w:rPr>
        <w:t>:</w:t>
      </w:r>
    </w:p>
    <w:p w14:paraId="06B99E43" w14:textId="4CE49C57" w:rsidR="005E6248" w:rsidRPr="005E6248" w:rsidRDefault="005E6248" w:rsidP="005E6248">
      <w:pPr>
        <w:numPr>
          <w:ilvl w:val="1"/>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Internal audit identified the unclear organizational structure between student organizations and student affairs may result in non-compliance with institutional policies or regulatory requirements, which may lead to legal and reputational risk. In consultation with the ASUM President and ASUM legal this update seeks to define student groups, both those affiliated with ASUM and those not affiliated with ASUM, clarify how the group conduct process works, and update sanction language. ASUM maintains their authority over their bylaws and recognition processes while group sanctions from the Community Standards organization process will address utilization of university resources beyond the direct control of ASUM. </w:t>
      </w:r>
    </w:p>
    <w:p w14:paraId="19F925D7" w14:textId="77777777" w:rsidR="005E6248" w:rsidRPr="005E6248" w:rsidRDefault="005E6248" w:rsidP="005E6248">
      <w:pPr>
        <w:numPr>
          <w:ilvl w:val="0"/>
          <w:numId w:val="2"/>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Providing option for student to request conduct board in cases where suspension, expulsion, denial of or revocation of degree is one of the possible sanction outcomes</w:t>
      </w:r>
    </w:p>
    <w:p w14:paraId="062D771C" w14:textId="77777777" w:rsidR="005E6248" w:rsidRPr="005E6248" w:rsidRDefault="005E6248" w:rsidP="005E6248">
      <w:pPr>
        <w:rPr>
          <w:rFonts w:ascii="Calibri" w:eastAsia="Times New Roman" w:hAnsi="Calibri" w:cs="Calibri"/>
          <w:color w:val="212121"/>
          <w:kern w:val="0"/>
          <w:sz w:val="22"/>
          <w:szCs w:val="22"/>
          <w14:ligatures w14:val="none"/>
        </w:rPr>
      </w:pPr>
      <w:r w:rsidRPr="005E6248">
        <w:rPr>
          <w:rFonts w:ascii="Calibri" w:eastAsia="Times New Roman" w:hAnsi="Calibri" w:cs="Calibri"/>
          <w:color w:val="212121"/>
          <w:kern w:val="0"/>
          <w:sz w:val="22"/>
          <w:szCs w:val="22"/>
          <w14:ligatures w14:val="none"/>
        </w:rPr>
        <w:t> </w:t>
      </w:r>
    </w:p>
    <w:p w14:paraId="193F2406" w14:textId="77777777" w:rsidR="005E6248" w:rsidRPr="005E6248" w:rsidRDefault="005E6248" w:rsidP="005E6248">
      <w:pPr>
        <w:rPr>
          <w:rFonts w:ascii="Calibri" w:eastAsia="Times New Roman" w:hAnsi="Calibri" w:cs="Calibri"/>
          <w:color w:val="212121"/>
          <w:kern w:val="0"/>
          <w:sz w:val="22"/>
          <w:szCs w:val="22"/>
          <w14:ligatures w14:val="none"/>
        </w:rPr>
      </w:pPr>
      <w:r w:rsidRPr="005E6248">
        <w:rPr>
          <w:rFonts w:ascii="Calibri" w:eastAsia="Times New Roman" w:hAnsi="Calibri" w:cs="Calibri"/>
          <w:b/>
          <w:bCs/>
          <w:color w:val="212121"/>
          <w:kern w:val="0"/>
          <w:sz w:val="22"/>
          <w:szCs w:val="22"/>
          <w:u w:val="single"/>
          <w14:ligatures w14:val="none"/>
        </w:rPr>
        <w:t>List of Proposed Updates</w:t>
      </w:r>
    </w:p>
    <w:p w14:paraId="2655AC29"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I.</w:t>
      </w:r>
    </w:p>
    <w:p w14:paraId="3FBA5A4A" w14:textId="6B89425C"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 Update jurisdiction to be inclusive of student groups.</w:t>
      </w:r>
    </w:p>
    <w:p w14:paraId="6B26A7F7" w14:textId="6BB44210"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E. Clarification of University discretion in initiating one conduct process if behavior is contemplated by Discrimination, Harassment, and Retaliation policy and conduct code. </w:t>
      </w:r>
    </w:p>
    <w:p w14:paraId="45069BD3"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II.</w:t>
      </w:r>
    </w:p>
    <w:p w14:paraId="2994D97A" w14:textId="4097E33E"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Records and Confidentiality</w:t>
      </w:r>
    </w:p>
    <w:p w14:paraId="4E67DF68" w14:textId="368D674A"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A.4. Clarify records retention policy to indicate suspension and expulsion records will be retained indefinitely.</w:t>
      </w:r>
    </w:p>
    <w:p w14:paraId="01F27A91"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Process Based Rights</w:t>
      </w:r>
    </w:p>
    <w:p w14:paraId="4E54C1B9" w14:textId="2A2952B8"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Insert student organization language.</w:t>
      </w:r>
    </w:p>
    <w:p w14:paraId="2498C721"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III. </w:t>
      </w:r>
    </w:p>
    <w:p w14:paraId="141BFD34"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Change name to Resolution Procedures</w:t>
      </w:r>
    </w:p>
    <w:p w14:paraId="10CD80EC"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 Insert University Conduct Board information</w:t>
      </w:r>
    </w:p>
    <w:p w14:paraId="36D786B9" w14:textId="4D9F4366"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Updated University conduct board language to consolidate the University Conduct Board and the Academic Conduct Board into one board that can be called into different formations based on the type of conduct board necessary to hear a specific case.</w:t>
      </w:r>
    </w:p>
    <w:p w14:paraId="05582866"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B. Label Informal Resolutions as III.B.</w:t>
      </w:r>
    </w:p>
    <w:p w14:paraId="22128595"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IV.</w:t>
      </w:r>
    </w:p>
    <w:p w14:paraId="3B9B6545"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lastRenderedPageBreak/>
        <w:t>Insert language around academic freedom, update language regarding academic responsibilities, insert language regarding artificial intelligence and research misconduct. </w:t>
      </w:r>
    </w:p>
    <w:p w14:paraId="5388CE20"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Procedures for academic misconduct </w:t>
      </w:r>
    </w:p>
    <w:p w14:paraId="42587518" w14:textId="6028E537"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Clarify course instructor investigation processes and remove language about the Academic Misconduct Board which will be merged with the University conduct board.</w:t>
      </w:r>
    </w:p>
    <w:p w14:paraId="569100E5"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IV Procedures for Academic Misconduct</w:t>
      </w:r>
    </w:p>
    <w:p w14:paraId="13DC2F9B" w14:textId="50E7F361"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A.1. Insert language require students to provide complete and truthful information about themselves per accreditation review suggestion.</w:t>
      </w:r>
    </w:p>
    <w:p w14:paraId="011AFBB2" w14:textId="4B615394"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A.2. Clarify language around processes at conclusion of course.</w:t>
      </w:r>
    </w:p>
    <w:p w14:paraId="5BDF6F20" w14:textId="78E05E57"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B.2.b. Add language that students facing denial of, or revocation of degree must be given option to have case heard by board</w:t>
      </w:r>
    </w:p>
    <w:p w14:paraId="25B7053D" w14:textId="126F08E8"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B.3. Update appeal language.</w:t>
      </w:r>
    </w:p>
    <w:p w14:paraId="7950C1E2"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V.</w:t>
      </w:r>
    </w:p>
    <w:p w14:paraId="2A2AFB4E" w14:textId="3CA296BC"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Insert language about student groups.</w:t>
      </w:r>
    </w:p>
    <w:p w14:paraId="4DF7B115" w14:textId="7CD502D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A.1. Add language about students providing complete and truthful information.</w:t>
      </w:r>
    </w:p>
    <w:p w14:paraId="325152FD"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 xml:space="preserve">B. Change language from </w:t>
      </w:r>
      <w:proofErr w:type="spellStart"/>
      <w:r w:rsidRPr="005E6248">
        <w:rPr>
          <w:rFonts w:ascii="Calibri" w:eastAsia="Times New Roman" w:hAnsi="Calibri" w:cs="Calibri"/>
          <w:color w:val="212121"/>
          <w:kern w:val="0"/>
          <w:sz w:val="22"/>
          <w:szCs w:val="22"/>
          <w14:ligatures w14:val="none"/>
        </w:rPr>
        <w:t>Bystanding</w:t>
      </w:r>
      <w:proofErr w:type="spellEnd"/>
      <w:r w:rsidRPr="005E6248">
        <w:rPr>
          <w:rFonts w:ascii="Calibri" w:eastAsia="Times New Roman" w:hAnsi="Calibri" w:cs="Calibri"/>
          <w:color w:val="212121"/>
          <w:kern w:val="0"/>
          <w:sz w:val="22"/>
          <w:szCs w:val="22"/>
          <w14:ligatures w14:val="none"/>
        </w:rPr>
        <w:t xml:space="preserve"> to Complicity</w:t>
      </w:r>
    </w:p>
    <w:p w14:paraId="74E97E03"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D. Insert reference to specific policy number of discrimination, harassment, and retaliation</w:t>
      </w:r>
    </w:p>
    <w:p w14:paraId="3C942B95" w14:textId="3257B85A"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F.1. Insert language about self-defense.</w:t>
      </w:r>
    </w:p>
    <w:p w14:paraId="1B58BB96" w14:textId="2D20E0AA"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H.4. Update IT links.</w:t>
      </w:r>
    </w:p>
    <w:p w14:paraId="362135C5"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I.5. Updating language around student arrests</w:t>
      </w:r>
    </w:p>
    <w:p w14:paraId="33189CF6"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Procedures for General Misconduct</w:t>
      </w:r>
    </w:p>
    <w:p w14:paraId="524A4D67" w14:textId="258443EE"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C.2. Updating language regarding who represents student groups.</w:t>
      </w:r>
    </w:p>
    <w:p w14:paraId="07883F90" w14:textId="77777777"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C.4.a. Updating language to outline what may be considered when reviewing group conduct</w:t>
      </w:r>
    </w:p>
    <w:p w14:paraId="10FB344F" w14:textId="0E80F4DA"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D. Update response to findings section to include student groups.</w:t>
      </w:r>
    </w:p>
    <w:p w14:paraId="101268A2" w14:textId="04238288"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E. Update response to sanctions section to include student groups.</w:t>
      </w:r>
    </w:p>
    <w:p w14:paraId="2D44CF97" w14:textId="77777777"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E.1.c. Clarify language on student group suspension to indicate what University privileges may be lost and that ASUM has the discretion to take further action. </w:t>
      </w:r>
    </w:p>
    <w:p w14:paraId="43DCAB4C" w14:textId="77777777" w:rsidR="005E6248" w:rsidRPr="005E6248" w:rsidRDefault="005E6248" w:rsidP="005E6248">
      <w:pPr>
        <w:numPr>
          <w:ilvl w:val="2"/>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F. Update to remove conduct board from this section and move to combined section. Clarify students may request administrative review from the Commissioner of Higher Ed. </w:t>
      </w:r>
    </w:p>
    <w:p w14:paraId="03A45B7A"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VI.</w:t>
      </w:r>
    </w:p>
    <w:p w14:paraId="53561B21" w14:textId="62E36450"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Insert student group language into interim action section.</w:t>
      </w:r>
    </w:p>
    <w:p w14:paraId="295BA997" w14:textId="77777777" w:rsidR="005E6248" w:rsidRPr="005E6248" w:rsidRDefault="005E6248" w:rsidP="005E6248">
      <w:pPr>
        <w:numPr>
          <w:ilvl w:val="0"/>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Article VII.</w:t>
      </w:r>
    </w:p>
    <w:p w14:paraId="3C85CF36" w14:textId="71E48034"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Expand language around professional programs honor codes and codes of professional behavior, update language around Fraternity and Sorority groups and student organizations.</w:t>
      </w:r>
    </w:p>
    <w:p w14:paraId="746B1DC9" w14:textId="7777777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A. Simplify UM Housing student conduct language and clarify role of Office of Community Standards versus Housing</w:t>
      </w:r>
    </w:p>
    <w:p w14:paraId="4C6299AF" w14:textId="0A200A4F"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C. Clarify that conduct originating in Fraternity and Sorority Involvement may be reviewed for action under the code.</w:t>
      </w:r>
    </w:p>
    <w:p w14:paraId="7DAEBD8A" w14:textId="076E0EC7" w:rsidR="005E6248" w:rsidRPr="005E6248" w:rsidRDefault="005E6248" w:rsidP="005E6248">
      <w:pPr>
        <w:numPr>
          <w:ilvl w:val="1"/>
          <w:numId w:val="3"/>
        </w:numPr>
        <w:rPr>
          <w:rFonts w:ascii="Calibri" w:eastAsia="Times New Roman" w:hAnsi="Calibri" w:cs="Calibri"/>
          <w:color w:val="212121"/>
          <w:kern w:val="0"/>
          <w:sz w:val="20"/>
          <w:szCs w:val="20"/>
          <w14:ligatures w14:val="none"/>
        </w:rPr>
      </w:pPr>
      <w:r w:rsidRPr="005E6248">
        <w:rPr>
          <w:rFonts w:ascii="Calibri" w:eastAsia="Times New Roman" w:hAnsi="Calibri" w:cs="Calibri"/>
          <w:color w:val="212121"/>
          <w:kern w:val="0"/>
          <w:sz w:val="22"/>
          <w:szCs w:val="22"/>
          <w14:ligatures w14:val="none"/>
        </w:rPr>
        <w:t>D. Update student organization language to reflect groups affiliated with ASUM and those not affiliated with ASUM. Clarify the Office of Community Standards has the discretion to adjudicate violations of the student code of conduct for student group behavior and actions.</w:t>
      </w:r>
    </w:p>
    <w:p w14:paraId="33AA57B6" w14:textId="77777777" w:rsidR="005E6248" w:rsidRPr="005E6248" w:rsidRDefault="005E6248" w:rsidP="005E6248">
      <w:pPr>
        <w:rPr>
          <w:rFonts w:ascii="Calibri" w:eastAsia="Times New Roman" w:hAnsi="Calibri" w:cs="Calibri"/>
          <w:color w:val="212121"/>
          <w:kern w:val="0"/>
          <w:sz w:val="22"/>
          <w:szCs w:val="22"/>
          <w14:ligatures w14:val="none"/>
        </w:rPr>
      </w:pPr>
      <w:r w:rsidRPr="005E6248">
        <w:rPr>
          <w:rFonts w:ascii="Calibri" w:eastAsia="Times New Roman" w:hAnsi="Calibri" w:cs="Calibri"/>
          <w:color w:val="212121"/>
          <w:kern w:val="0"/>
          <w:sz w:val="22"/>
          <w:szCs w:val="22"/>
          <w14:ligatures w14:val="none"/>
        </w:rPr>
        <w:lastRenderedPageBreak/>
        <w:t> </w:t>
      </w:r>
    </w:p>
    <w:p w14:paraId="5C6781DD" w14:textId="77777777" w:rsidR="005E6248" w:rsidRDefault="005E6248" w:rsidP="005E6248">
      <w:pPr>
        <w:pStyle w:val="xmsonormal"/>
        <w:spacing w:before="0" w:beforeAutospacing="0" w:after="0" w:afterAutospacing="0"/>
        <w:rPr>
          <w:rFonts w:ascii="Calibri" w:hAnsi="Calibri" w:cs="Calibri"/>
          <w:color w:val="212121"/>
          <w:sz w:val="22"/>
          <w:szCs w:val="22"/>
        </w:rPr>
      </w:pPr>
    </w:p>
    <w:p w14:paraId="3B7C4F4D" w14:textId="039F80DA" w:rsidR="005E6248" w:rsidRDefault="005E6248" w:rsidP="005E6248">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Members of the Conduct Board met on 3/11/24 to discuss the proposes revisions and make recommendations before engaging the shared governance process. Based on the conversations at the meeting, the further updates were made to the proposed revisions:</w:t>
      </w:r>
    </w:p>
    <w:p w14:paraId="4F00ED49" w14:textId="77777777" w:rsidR="005E6248" w:rsidRDefault="005E6248" w:rsidP="005E6248">
      <w:pPr>
        <w:pStyle w:val="xmsonormal"/>
        <w:spacing w:before="0" w:beforeAutospacing="0" w:after="0" w:afterAutospacing="0"/>
        <w:rPr>
          <w:rFonts w:ascii="Calibri" w:hAnsi="Calibri" w:cs="Calibri"/>
          <w:color w:val="212121"/>
          <w:sz w:val="20"/>
          <w:szCs w:val="20"/>
        </w:rPr>
      </w:pPr>
    </w:p>
    <w:p w14:paraId="2AFB20DB" w14:textId="77777777" w:rsidR="005E6248" w:rsidRDefault="005E6248" w:rsidP="005E6248">
      <w:pPr>
        <w:pStyle w:val="xmso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Updated Process Based Rights regarding student’s right to request a different hearing officer to also include requesting a different hearing board member due to a conflict.  (Article II: Student Rights – Process Based Rights Section A.2)</w:t>
      </w:r>
    </w:p>
    <w:p w14:paraId="7F2829E7" w14:textId="77777777" w:rsidR="005E6248" w:rsidRDefault="005E6248" w:rsidP="005E6248">
      <w:pPr>
        <w:pStyle w:val="xmso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Updated the University Conduct Board membership to include three members from each category, rather than two and an alternate, because everyone needs to be trained and smaller hearing boards are drawn from this larger University Conduct Board membership. (Article III.A.2)</w:t>
      </w:r>
    </w:p>
    <w:p w14:paraId="42DC7389" w14:textId="77777777" w:rsidR="005E6248" w:rsidRDefault="005E6248" w:rsidP="005E6248">
      <w:pPr>
        <w:pStyle w:val="xmso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Updated University Conduct Board Membership Criteria to indicate that board members cannot participate in cases if they are within the same department or share close academic ties with the faculty member making a misconduct charge or the respondent. (Article III.A.2)</w:t>
      </w:r>
    </w:p>
    <w:p w14:paraId="1E4928E9" w14:textId="77777777" w:rsidR="005E6248" w:rsidRDefault="005E6248" w:rsidP="005E6248">
      <w:pPr>
        <w:pStyle w:val="xmso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Updated the student disciplinary records section to indicate that all formal records are maintained by the Office of Community Standards (Article II.A.4)</w:t>
      </w:r>
    </w:p>
    <w:p w14:paraId="77B339D3" w14:textId="77777777" w:rsidR="005E6248" w:rsidRDefault="005E6248" w:rsidP="005E6248">
      <w:pPr>
        <w:pStyle w:val="xmso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University conduct board language was updated to state that “No case will be referred to the University Conduct Board if there are fewer than 30 calendar days before Spring Commencement. In these instances, a case will be assigned to a hearing officer. All other appeal options and procedures will continue as outlined in this code.” (Article III.A.) It was also clarified in the Hearing Officer Option that the President or designee may appoint a hearing officer in cases where all cases where a board cannot hear a case.</w:t>
      </w:r>
    </w:p>
    <w:p w14:paraId="04547BA5" w14:textId="77777777" w:rsidR="000929AB" w:rsidRDefault="000929AB"/>
    <w:sectPr w:rsidR="0009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5DE"/>
    <w:multiLevelType w:val="multilevel"/>
    <w:tmpl w:val="F09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118C9"/>
    <w:multiLevelType w:val="multilevel"/>
    <w:tmpl w:val="1500E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2D7958"/>
    <w:multiLevelType w:val="multilevel"/>
    <w:tmpl w:val="01DED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48"/>
    <w:rsid w:val="000929AB"/>
    <w:rsid w:val="003D66B9"/>
    <w:rsid w:val="005E6248"/>
    <w:rsid w:val="007F0AA9"/>
    <w:rsid w:val="0092507D"/>
    <w:rsid w:val="009D37C1"/>
    <w:rsid w:val="00F213C6"/>
    <w:rsid w:val="00F8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DE7"/>
  <w15:chartTrackingRefBased/>
  <w15:docId w15:val="{C834D395-A1FF-CA46-ABFF-6B0A1A92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37C1"/>
    <w:pPr>
      <w:keepNext/>
      <w:keepLines/>
      <w:spacing w:before="240" w:line="259" w:lineRule="auto"/>
      <w:outlineLvl w:val="0"/>
    </w:pPr>
    <w:rPr>
      <w:rFonts w:asciiTheme="majorHAnsi" w:eastAsiaTheme="majorEastAsia" w:hAnsiTheme="majorHAnsi" w:cstheme="majorBidi"/>
      <w:color w:val="70002E"/>
      <w:sz w:val="32"/>
      <w:szCs w:val="32"/>
    </w:rPr>
  </w:style>
  <w:style w:type="paragraph" w:styleId="Heading2">
    <w:name w:val="heading 2"/>
    <w:basedOn w:val="Normal"/>
    <w:next w:val="Normal"/>
    <w:link w:val="Heading2Char"/>
    <w:autoRedefine/>
    <w:uiPriority w:val="9"/>
    <w:unhideWhenUsed/>
    <w:qFormat/>
    <w:rsid w:val="009D37C1"/>
    <w:pPr>
      <w:keepNext/>
      <w:keepLines/>
      <w:spacing w:before="40" w:line="259" w:lineRule="auto"/>
      <w:outlineLvl w:val="1"/>
    </w:pPr>
    <w:rPr>
      <w:rFonts w:asciiTheme="majorHAnsi" w:eastAsiaTheme="majorEastAsia" w:hAnsiTheme="majorHAnsi" w:cstheme="majorBidi"/>
      <w:b/>
      <w:color w:val="70002E"/>
      <w:sz w:val="26"/>
      <w:szCs w:val="26"/>
    </w:rPr>
  </w:style>
  <w:style w:type="paragraph" w:styleId="Heading3">
    <w:name w:val="heading 3"/>
    <w:basedOn w:val="Normal"/>
    <w:next w:val="Normal"/>
    <w:link w:val="Heading3Char"/>
    <w:autoRedefine/>
    <w:uiPriority w:val="9"/>
    <w:unhideWhenUsed/>
    <w:qFormat/>
    <w:rsid w:val="009D37C1"/>
    <w:pPr>
      <w:keepNext/>
      <w:keepLines/>
      <w:spacing w:before="40" w:line="259" w:lineRule="auto"/>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5E62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62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62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62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62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62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7C1"/>
    <w:rPr>
      <w:rFonts w:asciiTheme="majorHAnsi" w:eastAsiaTheme="majorEastAsia" w:hAnsiTheme="majorHAnsi" w:cstheme="majorBidi"/>
      <w:b/>
      <w:color w:val="000000" w:themeColor="text1"/>
    </w:rPr>
  </w:style>
  <w:style w:type="character" w:customStyle="1" w:styleId="Heading1Char">
    <w:name w:val="Heading 1 Char"/>
    <w:basedOn w:val="DefaultParagraphFont"/>
    <w:link w:val="Heading1"/>
    <w:uiPriority w:val="9"/>
    <w:rsid w:val="009D37C1"/>
    <w:rPr>
      <w:rFonts w:asciiTheme="majorHAnsi" w:eastAsiaTheme="majorEastAsia" w:hAnsiTheme="majorHAnsi" w:cstheme="majorBidi"/>
      <w:color w:val="70002E"/>
      <w:sz w:val="32"/>
      <w:szCs w:val="32"/>
    </w:rPr>
  </w:style>
  <w:style w:type="character" w:customStyle="1" w:styleId="Heading2Char">
    <w:name w:val="Heading 2 Char"/>
    <w:basedOn w:val="DefaultParagraphFont"/>
    <w:link w:val="Heading2"/>
    <w:uiPriority w:val="9"/>
    <w:rsid w:val="009D37C1"/>
    <w:rPr>
      <w:rFonts w:asciiTheme="majorHAnsi" w:eastAsiaTheme="majorEastAsia" w:hAnsiTheme="majorHAnsi" w:cstheme="majorBidi"/>
      <w:b/>
      <w:color w:val="70002E"/>
      <w:sz w:val="26"/>
      <w:szCs w:val="26"/>
    </w:rPr>
  </w:style>
  <w:style w:type="character" w:customStyle="1" w:styleId="Heading4Char">
    <w:name w:val="Heading 4 Char"/>
    <w:basedOn w:val="DefaultParagraphFont"/>
    <w:link w:val="Heading4"/>
    <w:uiPriority w:val="9"/>
    <w:semiHidden/>
    <w:rsid w:val="005E62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62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62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62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62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6248"/>
    <w:rPr>
      <w:rFonts w:eastAsiaTheme="majorEastAsia" w:cstheme="majorBidi"/>
      <w:color w:val="272727" w:themeColor="text1" w:themeTint="D8"/>
    </w:rPr>
  </w:style>
  <w:style w:type="paragraph" w:styleId="Title">
    <w:name w:val="Title"/>
    <w:basedOn w:val="Normal"/>
    <w:next w:val="Normal"/>
    <w:link w:val="TitleChar"/>
    <w:uiPriority w:val="10"/>
    <w:qFormat/>
    <w:rsid w:val="005E62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2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624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62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624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E6248"/>
    <w:rPr>
      <w:i/>
      <w:iCs/>
      <w:color w:val="404040" w:themeColor="text1" w:themeTint="BF"/>
    </w:rPr>
  </w:style>
  <w:style w:type="paragraph" w:styleId="ListParagraph">
    <w:name w:val="List Paragraph"/>
    <w:basedOn w:val="Normal"/>
    <w:uiPriority w:val="34"/>
    <w:qFormat/>
    <w:rsid w:val="005E6248"/>
    <w:pPr>
      <w:ind w:left="720"/>
      <w:contextualSpacing/>
    </w:pPr>
  </w:style>
  <w:style w:type="character" w:styleId="IntenseEmphasis">
    <w:name w:val="Intense Emphasis"/>
    <w:basedOn w:val="DefaultParagraphFont"/>
    <w:uiPriority w:val="21"/>
    <w:qFormat/>
    <w:rsid w:val="005E6248"/>
    <w:rPr>
      <w:i/>
      <w:iCs/>
      <w:color w:val="0F4761" w:themeColor="accent1" w:themeShade="BF"/>
    </w:rPr>
  </w:style>
  <w:style w:type="paragraph" w:styleId="IntenseQuote">
    <w:name w:val="Intense Quote"/>
    <w:basedOn w:val="Normal"/>
    <w:next w:val="Normal"/>
    <w:link w:val="IntenseQuoteChar"/>
    <w:uiPriority w:val="30"/>
    <w:qFormat/>
    <w:rsid w:val="005E62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6248"/>
    <w:rPr>
      <w:i/>
      <w:iCs/>
      <w:color w:val="0F4761" w:themeColor="accent1" w:themeShade="BF"/>
    </w:rPr>
  </w:style>
  <w:style w:type="character" w:styleId="IntenseReference">
    <w:name w:val="Intense Reference"/>
    <w:basedOn w:val="DefaultParagraphFont"/>
    <w:uiPriority w:val="32"/>
    <w:qFormat/>
    <w:rsid w:val="005E6248"/>
    <w:rPr>
      <w:b/>
      <w:bCs/>
      <w:smallCaps/>
      <w:color w:val="0F4761" w:themeColor="accent1" w:themeShade="BF"/>
      <w:spacing w:val="5"/>
    </w:rPr>
  </w:style>
  <w:style w:type="paragraph" w:customStyle="1" w:styleId="xmsonormal">
    <w:name w:val="x_msonormal"/>
    <w:basedOn w:val="Normal"/>
    <w:rsid w:val="005E624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E6248"/>
  </w:style>
  <w:style w:type="paragraph" w:customStyle="1" w:styleId="xmsolistparagraph">
    <w:name w:val="x_msolistparagraph"/>
    <w:basedOn w:val="Normal"/>
    <w:rsid w:val="005E624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04143">
      <w:bodyDiv w:val="1"/>
      <w:marLeft w:val="0"/>
      <w:marRight w:val="0"/>
      <w:marTop w:val="0"/>
      <w:marBottom w:val="0"/>
      <w:divBdr>
        <w:top w:val="none" w:sz="0" w:space="0" w:color="auto"/>
        <w:left w:val="none" w:sz="0" w:space="0" w:color="auto"/>
        <w:bottom w:val="none" w:sz="0" w:space="0" w:color="auto"/>
        <w:right w:val="none" w:sz="0" w:space="0" w:color="auto"/>
      </w:divBdr>
    </w:div>
    <w:div w:id="18183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Deboer, John</dc:creator>
  <cp:keywords/>
  <dc:description/>
  <cp:lastModifiedBy>Duran, Kate</cp:lastModifiedBy>
  <cp:revision>2</cp:revision>
  <dcterms:created xsi:type="dcterms:W3CDTF">2024-04-04T16:57:00Z</dcterms:created>
  <dcterms:modified xsi:type="dcterms:W3CDTF">2024-04-04T16:57:00Z</dcterms:modified>
</cp:coreProperties>
</file>