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4E" w:rsidRPr="00085BA8" w:rsidRDefault="0047704E" w:rsidP="00085BA8">
      <w:pPr>
        <w:pStyle w:val="NoSpacing"/>
        <w:rPr>
          <w:rFonts w:ascii="Times New Roman" w:hAnsi="Times New Roman" w:cs="Times New Roman"/>
          <w:b/>
          <w:sz w:val="24"/>
          <w:szCs w:val="24"/>
        </w:rPr>
      </w:pPr>
      <w:r w:rsidRPr="00085BA8">
        <w:rPr>
          <w:rFonts w:ascii="Times New Roman" w:hAnsi="Times New Roman" w:cs="Times New Roman"/>
          <w:b/>
          <w:sz w:val="24"/>
          <w:szCs w:val="24"/>
        </w:rPr>
        <w:t>Euthanasia</w:t>
      </w:r>
      <w:r w:rsidR="00EE3BDB" w:rsidRPr="00085BA8">
        <w:rPr>
          <w:rFonts w:ascii="Times New Roman" w:hAnsi="Times New Roman" w:cs="Times New Roman"/>
          <w:b/>
          <w:sz w:val="24"/>
          <w:szCs w:val="24"/>
        </w:rPr>
        <w:t xml:space="preserve"> of Research Animals</w:t>
      </w:r>
    </w:p>
    <w:p w:rsidR="00085BA8" w:rsidRDefault="0047704E" w:rsidP="00085BA8">
      <w:pPr>
        <w:pStyle w:val="NoSpacing"/>
        <w:rPr>
          <w:rFonts w:ascii="Times New Roman" w:hAnsi="Times New Roman" w:cs="Times New Roman"/>
          <w:sz w:val="24"/>
          <w:szCs w:val="24"/>
        </w:rPr>
      </w:pPr>
      <w:r w:rsidRPr="00085BA8">
        <w:rPr>
          <w:rFonts w:ascii="Times New Roman" w:hAnsi="Times New Roman" w:cs="Times New Roman"/>
          <w:sz w:val="24"/>
          <w:szCs w:val="24"/>
        </w:rPr>
        <w:t>Last Review</w:t>
      </w:r>
      <w:r w:rsidR="00D82146">
        <w:rPr>
          <w:rFonts w:ascii="Times New Roman" w:hAnsi="Times New Roman" w:cs="Times New Roman"/>
          <w:sz w:val="24"/>
          <w:szCs w:val="24"/>
        </w:rPr>
        <w:t>ed</w:t>
      </w:r>
      <w:r w:rsidRPr="00085BA8">
        <w:rPr>
          <w:rFonts w:ascii="Times New Roman" w:hAnsi="Times New Roman" w:cs="Times New Roman"/>
          <w:sz w:val="24"/>
          <w:szCs w:val="24"/>
        </w:rPr>
        <w:t>: May 2, 2024</w:t>
      </w:r>
    </w:p>
    <w:p w:rsidR="0047704E" w:rsidRPr="00085BA8" w:rsidRDefault="0047704E" w:rsidP="00085BA8">
      <w:pPr>
        <w:pStyle w:val="NoSpacing"/>
        <w:rPr>
          <w:rFonts w:ascii="Times New Roman" w:hAnsi="Times New Roman" w:cs="Times New Roman"/>
          <w:sz w:val="24"/>
          <w:szCs w:val="24"/>
        </w:rPr>
      </w:pPr>
      <w:r w:rsidRPr="0047704E">
        <w:rPr>
          <w:rFonts w:ascii="Times New Roman" w:eastAsia="Times New Roman" w:hAnsi="Times New Roman" w:cs="Times New Roman"/>
          <w:b/>
          <w:bCs/>
          <w:sz w:val="24"/>
          <w:szCs w:val="24"/>
        </w:rPr>
        <w:br/>
        <w:t>I.  Purpose/Scope</w:t>
      </w:r>
      <w:r w:rsidRPr="0047704E">
        <w:rPr>
          <w:rFonts w:ascii="Times New Roman" w:eastAsia="Times New Roman" w:hAnsi="Times New Roman" w:cs="Times New Roman"/>
          <w:sz w:val="24"/>
          <w:szCs w:val="24"/>
        </w:rPr>
        <w:br/>
        <w:t xml:space="preserve">The purpose of this </w:t>
      </w:r>
      <w:r w:rsidR="00BC17B5">
        <w:rPr>
          <w:rFonts w:ascii="Times New Roman" w:eastAsia="Times New Roman" w:hAnsi="Times New Roman" w:cs="Times New Roman"/>
          <w:sz w:val="24"/>
          <w:szCs w:val="24"/>
        </w:rPr>
        <w:t>s</w:t>
      </w:r>
      <w:r w:rsidRPr="0047704E">
        <w:rPr>
          <w:rFonts w:ascii="Times New Roman" w:eastAsia="Times New Roman" w:hAnsi="Times New Roman" w:cs="Times New Roman"/>
          <w:sz w:val="24"/>
          <w:szCs w:val="24"/>
        </w:rPr>
        <w:t xml:space="preserve">tandard </w:t>
      </w:r>
      <w:r w:rsidR="00BC17B5">
        <w:rPr>
          <w:rFonts w:ascii="Times New Roman" w:eastAsia="Times New Roman" w:hAnsi="Times New Roman" w:cs="Times New Roman"/>
          <w:sz w:val="24"/>
          <w:szCs w:val="24"/>
        </w:rPr>
        <w:t>o</w:t>
      </w:r>
      <w:r w:rsidRPr="0047704E">
        <w:rPr>
          <w:rFonts w:ascii="Times New Roman" w:eastAsia="Times New Roman" w:hAnsi="Times New Roman" w:cs="Times New Roman"/>
          <w:sz w:val="24"/>
          <w:szCs w:val="24"/>
        </w:rPr>
        <w:t xml:space="preserve">perating </w:t>
      </w:r>
      <w:r w:rsidR="00BC17B5">
        <w:rPr>
          <w:rFonts w:ascii="Times New Roman" w:eastAsia="Times New Roman" w:hAnsi="Times New Roman" w:cs="Times New Roman"/>
          <w:sz w:val="24"/>
          <w:szCs w:val="24"/>
        </w:rPr>
        <w:t>procedure (SOP)</w:t>
      </w:r>
      <w:r w:rsidRPr="0047704E">
        <w:rPr>
          <w:rFonts w:ascii="Times New Roman" w:eastAsia="Times New Roman" w:hAnsi="Times New Roman" w:cs="Times New Roman"/>
          <w:sz w:val="24"/>
          <w:szCs w:val="24"/>
        </w:rPr>
        <w:t xml:space="preserve"> is to outline the procedures </w:t>
      </w:r>
      <w:r>
        <w:rPr>
          <w:rFonts w:ascii="Times New Roman" w:eastAsia="Times New Roman" w:hAnsi="Times New Roman" w:cs="Times New Roman"/>
          <w:sz w:val="24"/>
          <w:szCs w:val="24"/>
        </w:rPr>
        <w:t>for</w:t>
      </w:r>
      <w:r w:rsidRPr="0047704E">
        <w:rPr>
          <w:rFonts w:ascii="Times New Roman" w:eastAsia="Times New Roman" w:hAnsi="Times New Roman" w:cs="Times New Roman"/>
          <w:sz w:val="24"/>
          <w:szCs w:val="24"/>
        </w:rPr>
        <w:t xml:space="preserve"> euthanasia and to ensure</w:t>
      </w:r>
      <w:r>
        <w:rPr>
          <w:rFonts w:ascii="Times New Roman" w:eastAsia="Times New Roman" w:hAnsi="Times New Roman" w:cs="Times New Roman"/>
          <w:sz w:val="24"/>
          <w:szCs w:val="24"/>
        </w:rPr>
        <w:t xml:space="preserve"> compliance</w:t>
      </w:r>
      <w:r w:rsidRPr="0047704E">
        <w:rPr>
          <w:rFonts w:ascii="Times New Roman" w:eastAsia="Times New Roman" w:hAnsi="Times New Roman" w:cs="Times New Roman"/>
          <w:sz w:val="24"/>
          <w:szCs w:val="24"/>
        </w:rPr>
        <w:t xml:space="preserve"> with the </w:t>
      </w:r>
      <w:hyperlink r:id="rId5" w:history="1">
        <w:r w:rsidRPr="0047704E">
          <w:rPr>
            <w:rFonts w:ascii="Times New Roman" w:eastAsia="Times New Roman" w:hAnsi="Times New Roman" w:cs="Times New Roman"/>
            <w:color w:val="0000FF"/>
            <w:sz w:val="24"/>
            <w:szCs w:val="24"/>
            <w:u w:val="single"/>
          </w:rPr>
          <w:t>AVMA Guidelines for the Euthanasia of Animals: 2020 Edition</w:t>
        </w:r>
      </w:hyperlink>
      <w:r w:rsidR="00BC17B5">
        <w:rPr>
          <w:rFonts w:ascii="Times New Roman" w:eastAsia="Times New Roman" w:hAnsi="Times New Roman" w:cs="Times New Roman"/>
          <w:sz w:val="24"/>
          <w:szCs w:val="24"/>
        </w:rPr>
        <w:t>. </w:t>
      </w:r>
      <w:r w:rsidRPr="0047704E">
        <w:rPr>
          <w:rFonts w:ascii="Times New Roman" w:eastAsia="Times New Roman" w:hAnsi="Times New Roman" w:cs="Times New Roman"/>
          <w:sz w:val="24"/>
          <w:szCs w:val="24"/>
        </w:rPr>
        <w:t>This procedure applies to all personnel euthan</w:t>
      </w:r>
      <w:r>
        <w:rPr>
          <w:rFonts w:ascii="Times New Roman" w:eastAsia="Times New Roman" w:hAnsi="Times New Roman" w:cs="Times New Roman"/>
          <w:sz w:val="24"/>
          <w:szCs w:val="24"/>
        </w:rPr>
        <w:t>izing</w:t>
      </w:r>
      <w:r w:rsidRPr="0047704E">
        <w:rPr>
          <w:rFonts w:ascii="Times New Roman" w:eastAsia="Times New Roman" w:hAnsi="Times New Roman" w:cs="Times New Roman"/>
          <w:sz w:val="24"/>
          <w:szCs w:val="24"/>
        </w:rPr>
        <w:t xml:space="preserve"> animals in research projects sanctioned by The University of Montana Institutional Animal Care and Use Committee (IACUC). </w:t>
      </w:r>
    </w:p>
    <w:p w:rsidR="0047704E" w:rsidRPr="0047704E" w:rsidRDefault="0047704E" w:rsidP="0047704E">
      <w:p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b/>
          <w:bCs/>
          <w:sz w:val="24"/>
          <w:szCs w:val="24"/>
        </w:rPr>
        <w:t>II.  Policy</w:t>
      </w:r>
      <w:r w:rsidRPr="0047704E">
        <w:rPr>
          <w:rFonts w:ascii="Times New Roman" w:eastAsia="Times New Roman" w:hAnsi="Times New Roman" w:cs="Times New Roman"/>
          <w:sz w:val="24"/>
          <w:szCs w:val="24"/>
        </w:rPr>
        <w:br/>
        <w:t>It is LAR</w:t>
      </w:r>
      <w:r>
        <w:rPr>
          <w:rFonts w:ascii="Times New Roman" w:eastAsia="Times New Roman" w:hAnsi="Times New Roman" w:cs="Times New Roman"/>
          <w:sz w:val="24"/>
          <w:szCs w:val="24"/>
        </w:rPr>
        <w:t>'s</w:t>
      </w:r>
      <w:r w:rsidRPr="0047704E">
        <w:rPr>
          <w:rFonts w:ascii="Times New Roman" w:eastAsia="Times New Roman" w:hAnsi="Times New Roman" w:cs="Times New Roman"/>
          <w:sz w:val="24"/>
          <w:szCs w:val="24"/>
        </w:rPr>
        <w:t xml:space="preserve">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w:t>
      </w:r>
      <w:r w:rsidR="00BC17B5">
        <w:rPr>
          <w:rFonts w:ascii="Times New Roman" w:eastAsia="Times New Roman" w:hAnsi="Times New Roman" w:cs="Times New Roman"/>
          <w:sz w:val="24"/>
          <w:szCs w:val="24"/>
        </w:rPr>
        <w:t>SOPs</w:t>
      </w:r>
      <w:r w:rsidRPr="004770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before</w:t>
      </w:r>
      <w:r w:rsidRPr="0047704E">
        <w:rPr>
          <w:rFonts w:ascii="Times New Roman" w:eastAsia="Times New Roman" w:hAnsi="Times New Roman" w:cs="Times New Roman"/>
          <w:sz w:val="24"/>
          <w:szCs w:val="24"/>
        </w:rPr>
        <w:t xml:space="preserve"> performing activities outlined in this SOP or work</w:t>
      </w:r>
      <w:r>
        <w:rPr>
          <w:rFonts w:ascii="Times New Roman" w:eastAsia="Times New Roman" w:hAnsi="Times New Roman" w:cs="Times New Roman"/>
          <w:sz w:val="24"/>
          <w:szCs w:val="24"/>
        </w:rPr>
        <w:t>ing</w:t>
      </w:r>
      <w:r w:rsidRPr="0047704E">
        <w:rPr>
          <w:rFonts w:ascii="Times New Roman" w:eastAsia="Times New Roman" w:hAnsi="Times New Roman" w:cs="Times New Roman"/>
          <w:sz w:val="24"/>
          <w:szCs w:val="24"/>
        </w:rPr>
        <w:t xml:space="preserve"> under the direct supervision of a trained LAR staff member.</w:t>
      </w:r>
    </w:p>
    <w:p w:rsidR="0047704E" w:rsidRPr="00085BA8" w:rsidRDefault="0047704E" w:rsidP="00085BA8">
      <w:pPr>
        <w:pStyle w:val="NoSpacing"/>
        <w:rPr>
          <w:rFonts w:ascii="Times New Roman" w:hAnsi="Times New Roman" w:cs="Times New Roman"/>
          <w:b/>
          <w:sz w:val="24"/>
        </w:rPr>
      </w:pPr>
      <w:r w:rsidRPr="00085BA8">
        <w:rPr>
          <w:rFonts w:ascii="Times New Roman" w:hAnsi="Times New Roman" w:cs="Times New Roman"/>
          <w:b/>
          <w:sz w:val="24"/>
        </w:rPr>
        <w:t>III. Animal Identification</w:t>
      </w:r>
    </w:p>
    <w:p w:rsidR="0047704E" w:rsidRPr="0047704E" w:rsidRDefault="0047704E" w:rsidP="00085BA8">
      <w:pPr>
        <w:pStyle w:val="NoSpacing"/>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It is the responsibility of the person performing euthanasia to verify the identity of the animal(s) to be euthanatized and to ensure that the principal investigator (PI)</w:t>
      </w:r>
      <w:r>
        <w:rPr>
          <w:rFonts w:ascii="Times New Roman" w:eastAsia="Times New Roman" w:hAnsi="Times New Roman" w:cs="Times New Roman"/>
          <w:sz w:val="24"/>
          <w:szCs w:val="24"/>
        </w:rPr>
        <w:t xml:space="preserve">, </w:t>
      </w:r>
      <w:r w:rsidRPr="0047704E">
        <w:rPr>
          <w:rFonts w:ascii="Times New Roman" w:eastAsia="Times New Roman" w:hAnsi="Times New Roman" w:cs="Times New Roman"/>
          <w:sz w:val="24"/>
          <w:szCs w:val="24"/>
        </w:rPr>
        <w:t>designated animal user</w:t>
      </w:r>
      <w:r>
        <w:rPr>
          <w:rFonts w:ascii="Times New Roman" w:eastAsia="Times New Roman" w:hAnsi="Times New Roman" w:cs="Times New Roman"/>
          <w:sz w:val="24"/>
          <w:szCs w:val="24"/>
        </w:rPr>
        <w:t xml:space="preserve">, or the </w:t>
      </w:r>
      <w:r w:rsidR="00BC17B5">
        <w:rPr>
          <w:rFonts w:ascii="Times New Roman" w:eastAsia="Times New Roman" w:hAnsi="Times New Roman" w:cs="Times New Roman"/>
          <w:sz w:val="24"/>
          <w:szCs w:val="24"/>
        </w:rPr>
        <w:t>attending veterinarian (</w:t>
      </w:r>
      <w:r>
        <w:rPr>
          <w:rFonts w:ascii="Times New Roman" w:eastAsia="Times New Roman" w:hAnsi="Times New Roman" w:cs="Times New Roman"/>
          <w:sz w:val="24"/>
          <w:szCs w:val="24"/>
        </w:rPr>
        <w:t>AV</w:t>
      </w:r>
      <w:r w:rsidR="00BC17B5">
        <w:rPr>
          <w:rFonts w:ascii="Times New Roman" w:eastAsia="Times New Roman" w:hAnsi="Times New Roman" w:cs="Times New Roman"/>
          <w:sz w:val="24"/>
          <w:szCs w:val="24"/>
        </w:rPr>
        <w:t>) has authorized euthanasia. </w:t>
      </w:r>
      <w:r w:rsidRPr="0047704E">
        <w:rPr>
          <w:rFonts w:ascii="Times New Roman" w:eastAsia="Times New Roman" w:hAnsi="Times New Roman" w:cs="Times New Roman"/>
          <w:sz w:val="24"/>
          <w:szCs w:val="24"/>
        </w:rPr>
        <w:t>It is imperative to double</w:t>
      </w:r>
      <w:r>
        <w:rPr>
          <w:rFonts w:ascii="Times New Roman" w:eastAsia="Times New Roman" w:hAnsi="Times New Roman" w:cs="Times New Roman"/>
          <w:sz w:val="24"/>
          <w:szCs w:val="24"/>
        </w:rPr>
        <w:t>-check</w:t>
      </w:r>
      <w:r w:rsidRPr="0047704E">
        <w:rPr>
          <w:rFonts w:ascii="Times New Roman" w:eastAsia="Times New Roman" w:hAnsi="Times New Roman" w:cs="Times New Roman"/>
          <w:sz w:val="24"/>
          <w:szCs w:val="24"/>
        </w:rPr>
        <w:t xml:space="preserve"> animal identity before performing euthanasia.</w:t>
      </w:r>
    </w:p>
    <w:p w:rsidR="0047704E" w:rsidRDefault="0047704E" w:rsidP="0047704E">
      <w:p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b/>
          <w:bCs/>
          <w:sz w:val="24"/>
          <w:szCs w:val="24"/>
        </w:rPr>
        <w:t>IV. Selection of Specific Agents</w:t>
      </w:r>
      <w:r w:rsidRPr="0047704E">
        <w:rPr>
          <w:rFonts w:ascii="Times New Roman" w:eastAsia="Times New Roman" w:hAnsi="Times New Roman" w:cs="Times New Roman"/>
          <w:sz w:val="24"/>
          <w:szCs w:val="24"/>
        </w:rPr>
        <w:br/>
      </w:r>
      <w:proofErr w:type="gramStart"/>
      <w:r w:rsidRPr="0047704E">
        <w:rPr>
          <w:rFonts w:ascii="Times New Roman" w:eastAsia="Times New Roman" w:hAnsi="Times New Roman" w:cs="Times New Roman"/>
          <w:sz w:val="24"/>
          <w:szCs w:val="24"/>
        </w:rPr>
        <w:t>The</w:t>
      </w:r>
      <w:proofErr w:type="gramEnd"/>
      <w:r w:rsidRPr="0047704E">
        <w:rPr>
          <w:rFonts w:ascii="Times New Roman" w:eastAsia="Times New Roman" w:hAnsi="Times New Roman" w:cs="Times New Roman"/>
          <w:sz w:val="24"/>
          <w:szCs w:val="24"/>
        </w:rPr>
        <w:t xml:space="preserve"> selection of specific agents and methods for euthanasia will depend on the species involved and the objectives of the protocol. Generally, inhalant</w:t>
      </w:r>
      <w:r>
        <w:rPr>
          <w:rFonts w:ascii="Times New Roman" w:eastAsia="Times New Roman" w:hAnsi="Times New Roman" w:cs="Times New Roman"/>
          <w:sz w:val="24"/>
          <w:szCs w:val="24"/>
        </w:rPr>
        <w:t>s</w:t>
      </w:r>
      <w:r w:rsidRPr="0047704E">
        <w:rPr>
          <w:rFonts w:ascii="Times New Roman" w:eastAsia="Times New Roman" w:hAnsi="Times New Roman" w:cs="Times New Roman"/>
          <w:sz w:val="24"/>
          <w:szCs w:val="24"/>
        </w:rPr>
        <w:t xml:space="preserve"> (inhalant anesthetics or CO</w:t>
      </w:r>
      <w:r w:rsidRPr="0047704E">
        <w:rPr>
          <w:rFonts w:ascii="Times New Roman" w:eastAsia="Times New Roman" w:hAnsi="Times New Roman" w:cs="Times New Roman"/>
          <w:sz w:val="24"/>
          <w:szCs w:val="24"/>
          <w:vertAlign w:val="subscript"/>
        </w:rPr>
        <w:t>2</w:t>
      </w:r>
      <w:r w:rsidRPr="0047704E">
        <w:rPr>
          <w:rFonts w:ascii="Times New Roman" w:eastAsia="Times New Roman" w:hAnsi="Times New Roman" w:cs="Times New Roman"/>
          <w:sz w:val="24"/>
          <w:szCs w:val="24"/>
        </w:rPr>
        <w:t xml:space="preserve">) or injectable chemical agents (such as </w:t>
      </w:r>
      <w:r>
        <w:rPr>
          <w:rFonts w:ascii="Times New Roman" w:eastAsia="Times New Roman" w:hAnsi="Times New Roman" w:cs="Times New Roman"/>
          <w:sz w:val="24"/>
          <w:szCs w:val="24"/>
        </w:rPr>
        <w:t xml:space="preserve">a </w:t>
      </w:r>
      <w:r w:rsidRPr="0047704E">
        <w:rPr>
          <w:rFonts w:ascii="Times New Roman" w:eastAsia="Times New Roman" w:hAnsi="Times New Roman" w:cs="Times New Roman"/>
          <w:sz w:val="24"/>
          <w:szCs w:val="24"/>
        </w:rPr>
        <w:t>barbiturate) are preferable to physical methods (such as cervical dislocation</w:t>
      </w:r>
      <w:r>
        <w:rPr>
          <w:rFonts w:ascii="Times New Roman" w:eastAsia="Times New Roman" w:hAnsi="Times New Roman" w:cs="Times New Roman"/>
          <w:sz w:val="24"/>
          <w:szCs w:val="24"/>
        </w:rPr>
        <w:t xml:space="preserve"> or </w:t>
      </w:r>
      <w:r w:rsidRPr="0047704E">
        <w:rPr>
          <w:rFonts w:ascii="Times New Roman" w:eastAsia="Times New Roman" w:hAnsi="Times New Roman" w:cs="Times New Roman"/>
          <w:sz w:val="24"/>
          <w:szCs w:val="24"/>
        </w:rPr>
        <w:t>decapitation). Euthanasia is to be performed</w:t>
      </w:r>
      <w:r>
        <w:rPr>
          <w:rFonts w:ascii="Times New Roman" w:eastAsia="Times New Roman" w:hAnsi="Times New Roman" w:cs="Times New Roman"/>
          <w:sz w:val="24"/>
          <w:szCs w:val="24"/>
        </w:rPr>
        <w:t xml:space="preserve"> professionally and compassionately</w:t>
      </w:r>
      <w:r w:rsidRPr="0047704E">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trained </w:t>
      </w:r>
      <w:r w:rsidRPr="0047704E">
        <w:rPr>
          <w:rFonts w:ascii="Times New Roman" w:eastAsia="Times New Roman" w:hAnsi="Times New Roman" w:cs="Times New Roman"/>
          <w:sz w:val="24"/>
          <w:szCs w:val="24"/>
        </w:rPr>
        <w:t>personnel. Death should be confirmed by</w:t>
      </w:r>
      <w:r>
        <w:rPr>
          <w:rFonts w:ascii="Times New Roman" w:eastAsia="Times New Roman" w:hAnsi="Times New Roman" w:cs="Times New Roman"/>
          <w:sz w:val="24"/>
          <w:szCs w:val="24"/>
        </w:rPr>
        <w:t xml:space="preserve"> a secondary form of euthanasia such as cervical dislocation, decapitation, or thoracotomy.</w:t>
      </w:r>
      <w:r w:rsidRPr="0047704E">
        <w:rPr>
          <w:rFonts w:ascii="Times New Roman" w:eastAsia="Times New Roman" w:hAnsi="Times New Roman" w:cs="Times New Roman"/>
          <w:sz w:val="24"/>
          <w:szCs w:val="24"/>
        </w:rPr>
        <w:t xml:space="preserve"> </w:t>
      </w:r>
    </w:p>
    <w:p w:rsidR="0047704E" w:rsidRPr="0047704E" w:rsidRDefault="0047704E" w:rsidP="0047704E">
      <w:p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b/>
          <w:bCs/>
          <w:sz w:val="24"/>
          <w:szCs w:val="24"/>
        </w:rPr>
        <w:t xml:space="preserve">V. </w:t>
      </w:r>
      <w:r>
        <w:rPr>
          <w:rFonts w:ascii="Times New Roman" w:eastAsia="Times New Roman" w:hAnsi="Times New Roman" w:cs="Times New Roman"/>
          <w:b/>
          <w:bCs/>
          <w:sz w:val="24"/>
          <w:szCs w:val="24"/>
        </w:rPr>
        <w:t>Carbon Dioxide (</w:t>
      </w:r>
      <w:r w:rsidRPr="0047704E">
        <w:rPr>
          <w:rFonts w:ascii="Times New Roman" w:eastAsia="Times New Roman" w:hAnsi="Times New Roman" w:cs="Times New Roman"/>
          <w:b/>
          <w:bCs/>
          <w:sz w:val="24"/>
          <w:szCs w:val="24"/>
        </w:rPr>
        <w:t>CO</w:t>
      </w:r>
      <w:r w:rsidRPr="0047704E">
        <w:rPr>
          <w:rFonts w:ascii="Times New Roman" w:eastAsia="Times New Roman" w:hAnsi="Times New Roman" w:cs="Times New Roman"/>
          <w:b/>
          <w:bCs/>
          <w:sz w:val="24"/>
          <w:szCs w:val="24"/>
          <w:vertAlign w:val="subscript"/>
        </w:rPr>
        <w:t>2</w:t>
      </w:r>
      <w:r>
        <w:rPr>
          <w:rFonts w:ascii="Times New Roman" w:eastAsia="Times New Roman" w:hAnsi="Times New Roman" w:cs="Times New Roman"/>
          <w:b/>
          <w:bCs/>
          <w:sz w:val="24"/>
          <w:szCs w:val="24"/>
        </w:rPr>
        <w:t>)</w:t>
      </w:r>
      <w:r w:rsidRPr="0047704E">
        <w:rPr>
          <w:rFonts w:ascii="Times New Roman" w:eastAsia="Times New Roman" w:hAnsi="Times New Roman" w:cs="Times New Roman"/>
          <w:sz w:val="24"/>
          <w:szCs w:val="24"/>
        </w:rPr>
        <w:br/>
        <w:t xml:space="preserve">This method is </w:t>
      </w:r>
      <w:r>
        <w:rPr>
          <w:rFonts w:ascii="Times New Roman" w:eastAsia="Times New Roman" w:hAnsi="Times New Roman" w:cs="Times New Roman"/>
          <w:sz w:val="24"/>
          <w:szCs w:val="24"/>
        </w:rPr>
        <w:t xml:space="preserve">to be </w:t>
      </w:r>
      <w:r w:rsidRPr="0047704E">
        <w:rPr>
          <w:rFonts w:ascii="Times New Roman" w:eastAsia="Times New Roman" w:hAnsi="Times New Roman" w:cs="Times New Roman"/>
          <w:sz w:val="24"/>
          <w:szCs w:val="24"/>
        </w:rPr>
        <w:t xml:space="preserve">used for rodents </w:t>
      </w:r>
      <w:r>
        <w:rPr>
          <w:rFonts w:ascii="Times New Roman" w:eastAsia="Times New Roman" w:hAnsi="Times New Roman" w:cs="Times New Roman"/>
          <w:sz w:val="24"/>
          <w:szCs w:val="24"/>
        </w:rPr>
        <w:t xml:space="preserve">under </w:t>
      </w:r>
      <w:r w:rsidRPr="0047704E">
        <w:rPr>
          <w:rFonts w:ascii="Times New Roman" w:eastAsia="Times New Roman" w:hAnsi="Times New Roman" w:cs="Times New Roman"/>
          <w:sz w:val="24"/>
          <w:szCs w:val="24"/>
        </w:rPr>
        <w:t>600 grams</w:t>
      </w:r>
      <w:r>
        <w:rPr>
          <w:rFonts w:ascii="Times New Roman" w:eastAsia="Times New Roman" w:hAnsi="Times New Roman" w:cs="Times New Roman"/>
          <w:sz w:val="24"/>
          <w:szCs w:val="24"/>
        </w:rPr>
        <w:t>:</w:t>
      </w:r>
    </w:p>
    <w:p w:rsidR="0047704E" w:rsidRPr="0047704E" w:rsidRDefault="0047704E" w:rsidP="00477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Sign</w:t>
      </w:r>
      <w:r>
        <w:rPr>
          <w:rFonts w:ascii="Times New Roman" w:eastAsia="Times New Roman" w:hAnsi="Times New Roman" w:cs="Times New Roman"/>
          <w:sz w:val="24"/>
          <w:szCs w:val="24"/>
        </w:rPr>
        <w:t xml:space="preserve"> </w:t>
      </w:r>
      <w:r w:rsidRPr="0047704E">
        <w:rPr>
          <w:rFonts w:ascii="Times New Roman" w:eastAsia="Times New Roman" w:hAnsi="Times New Roman" w:cs="Times New Roman"/>
          <w:sz w:val="24"/>
          <w:szCs w:val="24"/>
        </w:rPr>
        <w:t>in using the clipboard next to the CO</w:t>
      </w:r>
      <w:r w:rsidRPr="0047704E">
        <w:rPr>
          <w:rFonts w:ascii="Times New Roman" w:eastAsia="Times New Roman" w:hAnsi="Times New Roman" w:cs="Times New Roman"/>
          <w:sz w:val="24"/>
          <w:szCs w:val="24"/>
          <w:vertAlign w:val="subscript"/>
        </w:rPr>
        <w:t>2</w:t>
      </w:r>
      <w:r w:rsidR="00BC17B5">
        <w:rPr>
          <w:rFonts w:ascii="Times New Roman" w:eastAsia="Times New Roman" w:hAnsi="Times New Roman" w:cs="Times New Roman"/>
          <w:sz w:val="24"/>
          <w:szCs w:val="24"/>
        </w:rPr>
        <w:t xml:space="preserve"> unit. </w:t>
      </w:r>
      <w:r w:rsidRPr="0047704E">
        <w:rPr>
          <w:rFonts w:ascii="Times New Roman" w:eastAsia="Times New Roman" w:hAnsi="Times New Roman" w:cs="Times New Roman"/>
          <w:sz w:val="24"/>
          <w:szCs w:val="24"/>
        </w:rPr>
        <w:t xml:space="preserve">Fill out completely including PI name, when you started/ended, number of boxes, </w:t>
      </w:r>
      <w:r w:rsidR="00BC17B5">
        <w:rPr>
          <w:rFonts w:ascii="Times New Roman" w:eastAsia="Times New Roman" w:hAnsi="Times New Roman" w:cs="Times New Roman"/>
          <w:sz w:val="24"/>
          <w:szCs w:val="24"/>
        </w:rPr>
        <w:t xml:space="preserve">AUP #, </w:t>
      </w:r>
      <w:r w:rsidRPr="0047704E">
        <w:rPr>
          <w:rFonts w:ascii="Times New Roman" w:eastAsia="Times New Roman" w:hAnsi="Times New Roman" w:cs="Times New Roman"/>
          <w:sz w:val="24"/>
          <w:szCs w:val="24"/>
        </w:rPr>
        <w:t>and number of animals</w:t>
      </w:r>
    </w:p>
    <w:p w:rsidR="0047704E" w:rsidRPr="0047704E" w:rsidRDefault="0047704E" w:rsidP="00477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 xml:space="preserve">Place </w:t>
      </w:r>
      <w:r>
        <w:rPr>
          <w:rFonts w:ascii="Times New Roman" w:eastAsia="Times New Roman" w:hAnsi="Times New Roman" w:cs="Times New Roman"/>
          <w:sz w:val="24"/>
          <w:szCs w:val="24"/>
        </w:rPr>
        <w:t xml:space="preserve">the </w:t>
      </w:r>
      <w:r w:rsidRPr="0047704E">
        <w:rPr>
          <w:rFonts w:ascii="Times New Roman" w:eastAsia="Times New Roman" w:hAnsi="Times New Roman" w:cs="Times New Roman"/>
          <w:sz w:val="24"/>
          <w:szCs w:val="24"/>
        </w:rPr>
        <w:t>animal</w:t>
      </w:r>
      <w:r>
        <w:rPr>
          <w:rFonts w:ascii="Times New Roman" w:eastAsia="Times New Roman" w:hAnsi="Times New Roman" w:cs="Times New Roman"/>
          <w:sz w:val="24"/>
          <w:szCs w:val="24"/>
        </w:rPr>
        <w:t>(s)</w:t>
      </w:r>
      <w:r w:rsidRPr="0047704E">
        <w:rPr>
          <w:rFonts w:ascii="Times New Roman" w:eastAsia="Times New Roman" w:hAnsi="Times New Roman" w:cs="Times New Roman"/>
          <w:sz w:val="24"/>
          <w:szCs w:val="24"/>
        </w:rPr>
        <w:t xml:space="preserve"> to be euthanatized in the chamber, inside its primary enclosure, if possible</w:t>
      </w:r>
    </w:p>
    <w:p w:rsidR="0047704E" w:rsidRPr="00BC17B5" w:rsidRDefault="0047704E" w:rsidP="00BC1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Fill the euthanasia chamber with CO</w:t>
      </w:r>
      <w:r w:rsidRPr="0047704E">
        <w:rPr>
          <w:rFonts w:ascii="Times New Roman" w:eastAsia="Times New Roman" w:hAnsi="Times New Roman" w:cs="Times New Roman"/>
          <w:sz w:val="24"/>
          <w:szCs w:val="24"/>
          <w:vertAlign w:val="subscript"/>
        </w:rPr>
        <w:t>2</w:t>
      </w:r>
      <w:r w:rsidRPr="0047704E">
        <w:rPr>
          <w:rFonts w:ascii="Times New Roman" w:eastAsia="Times New Roman" w:hAnsi="Times New Roman" w:cs="Times New Roman"/>
          <w:sz w:val="24"/>
          <w:szCs w:val="24"/>
        </w:rPr>
        <w:t xml:space="preserve"> by turning the tank on</w:t>
      </w:r>
      <w:r>
        <w:rPr>
          <w:rFonts w:ascii="Times New Roman" w:eastAsia="Times New Roman" w:hAnsi="Times New Roman" w:cs="Times New Roman"/>
          <w:sz w:val="24"/>
          <w:szCs w:val="24"/>
        </w:rPr>
        <w:t xml:space="preserve"> - </w:t>
      </w:r>
      <w:r w:rsidRPr="00BC17B5">
        <w:rPr>
          <w:rFonts w:ascii="Times New Roman" w:eastAsia="Times New Roman" w:hAnsi="Times New Roman" w:cs="Times New Roman"/>
          <w:sz w:val="24"/>
          <w:szCs w:val="24"/>
        </w:rPr>
        <w:t>the regulator has been preset for low-flow volu</w:t>
      </w:r>
      <w:r w:rsidR="00BC17B5">
        <w:rPr>
          <w:rFonts w:ascii="Times New Roman" w:eastAsia="Times New Roman" w:hAnsi="Times New Roman" w:cs="Times New Roman"/>
          <w:sz w:val="24"/>
          <w:szCs w:val="24"/>
        </w:rPr>
        <w:t xml:space="preserve">me appropriate to the chamber. </w:t>
      </w:r>
      <w:r w:rsidRPr="00BC17B5">
        <w:rPr>
          <w:rFonts w:ascii="Times New Roman" w:eastAsia="Times New Roman" w:hAnsi="Times New Roman" w:cs="Times New Roman"/>
          <w:sz w:val="24"/>
          <w:szCs w:val="24"/>
        </w:rPr>
        <w:t>DO NOT readjust the brass knob.</w:t>
      </w:r>
    </w:p>
    <w:p w:rsidR="0047704E" w:rsidRPr="0047704E" w:rsidRDefault="0047704E" w:rsidP="00477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When no movement</w:t>
      </w:r>
      <w:r>
        <w:rPr>
          <w:rFonts w:ascii="Times New Roman" w:eastAsia="Times New Roman" w:hAnsi="Times New Roman" w:cs="Times New Roman"/>
          <w:sz w:val="24"/>
          <w:szCs w:val="24"/>
        </w:rPr>
        <w:t xml:space="preserve"> or respiration</w:t>
      </w:r>
      <w:r w:rsidRPr="0047704E">
        <w:rPr>
          <w:rFonts w:ascii="Times New Roman" w:eastAsia="Times New Roman" w:hAnsi="Times New Roman" w:cs="Times New Roman"/>
          <w:sz w:val="24"/>
          <w:szCs w:val="24"/>
        </w:rPr>
        <w:t xml:space="preserve"> is detected, turn off CO</w:t>
      </w:r>
      <w:r w:rsidRPr="0047704E">
        <w:rPr>
          <w:rFonts w:ascii="Times New Roman" w:eastAsia="Times New Roman" w:hAnsi="Times New Roman" w:cs="Times New Roman"/>
          <w:sz w:val="24"/>
          <w:szCs w:val="24"/>
          <w:vertAlign w:val="subscript"/>
        </w:rPr>
        <w:t>2</w:t>
      </w:r>
    </w:p>
    <w:p w:rsidR="0047704E" w:rsidRPr="0047704E" w:rsidRDefault="0047704E" w:rsidP="00477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 xml:space="preserve">Remove </w:t>
      </w:r>
      <w:r>
        <w:rPr>
          <w:rFonts w:ascii="Times New Roman" w:eastAsia="Times New Roman" w:hAnsi="Times New Roman" w:cs="Times New Roman"/>
          <w:sz w:val="24"/>
          <w:szCs w:val="24"/>
        </w:rPr>
        <w:t xml:space="preserve">the </w:t>
      </w:r>
      <w:r w:rsidRPr="0047704E">
        <w:rPr>
          <w:rFonts w:ascii="Times New Roman" w:eastAsia="Times New Roman" w:hAnsi="Times New Roman" w:cs="Times New Roman"/>
          <w:sz w:val="24"/>
          <w:szCs w:val="24"/>
        </w:rPr>
        <w:t>animal and check for cessation of vital signs</w:t>
      </w:r>
    </w:p>
    <w:p w:rsidR="0047704E" w:rsidRPr="0047704E" w:rsidRDefault="0047704E" w:rsidP="00477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 xml:space="preserve">Use a secondary mechanical means of euthanasia to ensure death (cervical dislocation, decapitation, or </w:t>
      </w:r>
      <w:r>
        <w:rPr>
          <w:rFonts w:ascii="Times New Roman" w:eastAsia="Times New Roman" w:hAnsi="Times New Roman" w:cs="Times New Roman"/>
          <w:sz w:val="24"/>
          <w:szCs w:val="24"/>
        </w:rPr>
        <w:t>thoracotomy</w:t>
      </w:r>
      <w:r w:rsidRPr="0047704E">
        <w:rPr>
          <w:rFonts w:ascii="Times New Roman" w:eastAsia="Times New Roman" w:hAnsi="Times New Roman" w:cs="Times New Roman"/>
          <w:sz w:val="24"/>
          <w:szCs w:val="24"/>
        </w:rPr>
        <w:t>)</w:t>
      </w:r>
    </w:p>
    <w:p w:rsidR="0047704E" w:rsidRDefault="0047704E" w:rsidP="00477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 xml:space="preserve">When the animal is confirmed dead, place the animal in </w:t>
      </w:r>
      <w:r>
        <w:rPr>
          <w:rFonts w:ascii="Times New Roman" w:eastAsia="Times New Roman" w:hAnsi="Times New Roman" w:cs="Times New Roman"/>
          <w:sz w:val="24"/>
          <w:szCs w:val="24"/>
        </w:rPr>
        <w:t xml:space="preserve">sealable </w:t>
      </w:r>
      <w:r w:rsidRPr="0047704E">
        <w:rPr>
          <w:rFonts w:ascii="Times New Roman" w:eastAsia="Times New Roman" w:hAnsi="Times New Roman" w:cs="Times New Roman"/>
          <w:sz w:val="24"/>
          <w:szCs w:val="24"/>
        </w:rPr>
        <w:t xml:space="preserve">carcass bags and label </w:t>
      </w:r>
      <w:r>
        <w:rPr>
          <w:rFonts w:ascii="Times New Roman" w:eastAsia="Times New Roman" w:hAnsi="Times New Roman" w:cs="Times New Roman"/>
          <w:sz w:val="24"/>
          <w:szCs w:val="24"/>
        </w:rPr>
        <w:t xml:space="preserve">it </w:t>
      </w:r>
      <w:r w:rsidRPr="0047704E">
        <w:rPr>
          <w:rFonts w:ascii="Times New Roman" w:eastAsia="Times New Roman" w:hAnsi="Times New Roman" w:cs="Times New Roman"/>
          <w:sz w:val="24"/>
          <w:szCs w:val="24"/>
        </w:rPr>
        <w:t>appropriately (e.g., PI name, strain, wild-type, transgenic, contaminated, etc.)</w:t>
      </w:r>
    </w:p>
    <w:p w:rsidR="00BC17B5" w:rsidRDefault="00BC17B5" w:rsidP="00BC17B5">
      <w:pPr>
        <w:spacing w:before="100" w:beforeAutospacing="1" w:after="100" w:afterAutospacing="1" w:line="240" w:lineRule="auto"/>
        <w:ind w:left="720"/>
        <w:jc w:val="center"/>
        <w:rPr>
          <w:noProof/>
          <w:lang w:eastAsia="ja-JP"/>
        </w:rPr>
      </w:pPr>
    </w:p>
    <w:p w:rsidR="00BC17B5" w:rsidRDefault="00BC17B5" w:rsidP="00BC17B5">
      <w:pPr>
        <w:spacing w:before="100" w:beforeAutospacing="1" w:after="100" w:afterAutospacing="1" w:line="240" w:lineRule="auto"/>
        <w:ind w:left="720"/>
        <w:jc w:val="center"/>
        <w:rPr>
          <w:rFonts w:ascii="Times New Roman" w:eastAsia="Times New Roman" w:hAnsi="Times New Roman" w:cs="Times New Roman"/>
          <w:sz w:val="24"/>
          <w:szCs w:val="24"/>
        </w:rPr>
      </w:pPr>
      <w:r>
        <w:rPr>
          <w:noProof/>
          <w:lang w:eastAsia="ja-JP"/>
        </w:rPr>
        <w:drawing>
          <wp:inline distT="0" distB="0" distL="0" distR="0" wp14:anchorId="49ED6E32" wp14:editId="34A960E3">
            <wp:extent cx="3781425" cy="1868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carcass sticker.png"/>
                    <pic:cNvPicPr/>
                  </pic:nvPicPr>
                  <pic:blipFill rotWithShape="1">
                    <a:blip r:embed="rId6">
                      <a:extLst>
                        <a:ext uri="{28A0092B-C50C-407E-A947-70E740481C1C}">
                          <a14:useLocalDpi xmlns:a14="http://schemas.microsoft.com/office/drawing/2010/main" val="0"/>
                        </a:ext>
                      </a:extLst>
                    </a:blip>
                    <a:srcRect b="2401"/>
                    <a:stretch/>
                  </pic:blipFill>
                  <pic:spPr bwMode="auto">
                    <a:xfrm>
                      <a:off x="0" y="0"/>
                      <a:ext cx="3781953" cy="1868818"/>
                    </a:xfrm>
                    <a:prstGeom prst="rect">
                      <a:avLst/>
                    </a:prstGeom>
                    <a:ln>
                      <a:noFill/>
                    </a:ln>
                    <a:extLst>
                      <a:ext uri="{53640926-AAD7-44D8-BBD7-CCE9431645EC}">
                        <a14:shadowObscured xmlns:a14="http://schemas.microsoft.com/office/drawing/2010/main"/>
                      </a:ext>
                    </a:extLst>
                  </pic:spPr>
                </pic:pic>
              </a:graphicData>
            </a:graphic>
          </wp:inline>
        </w:drawing>
      </w:r>
    </w:p>
    <w:p w:rsidR="0047704E" w:rsidRDefault="0047704E" w:rsidP="00477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Discard into LAR trash cans or appropriate carcass freezer ensuring compliance with NIH disposal guidelines. Refer to the chart.</w:t>
      </w:r>
    </w:p>
    <w:p w:rsidR="0047704E" w:rsidRPr="0047704E" w:rsidRDefault="0047704E" w:rsidP="00477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 xml:space="preserve">Wipe </w:t>
      </w:r>
      <w:r w:rsidR="00EE3BDB">
        <w:rPr>
          <w:rFonts w:ascii="Times New Roman" w:eastAsia="Times New Roman" w:hAnsi="Times New Roman" w:cs="Times New Roman"/>
          <w:sz w:val="24"/>
          <w:szCs w:val="24"/>
        </w:rPr>
        <w:t xml:space="preserve">the </w:t>
      </w:r>
      <w:r w:rsidRPr="0047704E">
        <w:rPr>
          <w:rFonts w:ascii="Times New Roman" w:eastAsia="Times New Roman" w:hAnsi="Times New Roman" w:cs="Times New Roman"/>
          <w:sz w:val="24"/>
          <w:szCs w:val="24"/>
        </w:rPr>
        <w:t>CO</w:t>
      </w:r>
      <w:r w:rsidRPr="0047704E">
        <w:rPr>
          <w:rFonts w:ascii="Times New Roman" w:eastAsia="Times New Roman" w:hAnsi="Times New Roman" w:cs="Times New Roman"/>
          <w:sz w:val="24"/>
          <w:szCs w:val="24"/>
          <w:vertAlign w:val="subscript"/>
        </w:rPr>
        <w:t>2</w:t>
      </w:r>
      <w:r w:rsidRPr="0047704E">
        <w:rPr>
          <w:rFonts w:ascii="Times New Roman" w:eastAsia="Times New Roman" w:hAnsi="Times New Roman" w:cs="Times New Roman"/>
          <w:sz w:val="24"/>
          <w:szCs w:val="24"/>
        </w:rPr>
        <w:t xml:space="preserve"> chamber with Peroxigard spray after use</w:t>
      </w:r>
    </w:p>
    <w:p w:rsidR="0047704E" w:rsidRPr="0047704E" w:rsidRDefault="0047704E" w:rsidP="0047704E">
      <w:pPr>
        <w:spacing w:before="100" w:beforeAutospacing="1" w:after="100" w:afterAutospacing="1" w:line="240" w:lineRule="auto"/>
        <w:ind w:left="360"/>
        <w:rPr>
          <w:rFonts w:ascii="Times New Roman" w:eastAsia="Times New Roman" w:hAnsi="Times New Roman" w:cs="Times New Roman"/>
          <w:sz w:val="24"/>
          <w:szCs w:val="24"/>
        </w:rPr>
      </w:pPr>
      <w:bookmarkStart w:id="0" w:name="_GoBack"/>
      <w:bookmarkEnd w:id="0"/>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4684"/>
        <w:gridCol w:w="4916"/>
      </w:tblGrid>
      <w:tr w:rsidR="0047704E" w:rsidRPr="0047704E" w:rsidTr="0047704E">
        <w:trPr>
          <w:trHeight w:val="510"/>
          <w:tblCellSpacing w:w="15" w:type="dxa"/>
        </w:trPr>
        <w:tc>
          <w:tcPr>
            <w:tcW w:w="4634" w:type="dxa"/>
            <w:vAlign w:val="center"/>
            <w:hideMark/>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r w:rsidRPr="0047704E">
              <w:rPr>
                <w:rFonts w:ascii="Times New Roman" w:eastAsia="Times New Roman" w:hAnsi="Times New Roman" w:cs="Times New Roman"/>
                <w:color w:val="990033"/>
                <w:sz w:val="24"/>
                <w:szCs w:val="24"/>
              </w:rPr>
              <w:t> </w:t>
            </w:r>
            <w:r w:rsidRPr="0047704E">
              <w:rPr>
                <w:rFonts w:ascii="Times New Roman" w:eastAsia="Times New Roman" w:hAnsi="Times New Roman" w:cs="Times New Roman"/>
                <w:i/>
                <w:iCs/>
                <w:color w:val="990033"/>
                <w:sz w:val="24"/>
                <w:szCs w:val="24"/>
              </w:rPr>
              <w:t>Wildtype (WT) with no drug</w:t>
            </w:r>
          </w:p>
        </w:tc>
        <w:tc>
          <w:tcPr>
            <w:tcW w:w="4866" w:type="dxa"/>
            <w:vAlign w:val="center"/>
            <w:hideMark/>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r w:rsidRPr="0047704E">
              <w:rPr>
                <w:rFonts w:ascii="Times New Roman" w:eastAsia="Times New Roman" w:hAnsi="Times New Roman" w:cs="Times New Roman"/>
                <w:i/>
                <w:iCs/>
                <w:color w:val="990033"/>
                <w:sz w:val="24"/>
                <w:szCs w:val="24"/>
              </w:rPr>
              <w:t xml:space="preserve">Raptor freezer in HSB </w:t>
            </w:r>
          </w:p>
        </w:tc>
      </w:tr>
      <w:tr w:rsidR="0047704E" w:rsidRPr="0047704E" w:rsidTr="0047704E">
        <w:trPr>
          <w:trHeight w:val="510"/>
          <w:tblCellSpacing w:w="15" w:type="dxa"/>
        </w:trPr>
        <w:tc>
          <w:tcPr>
            <w:tcW w:w="4634" w:type="dxa"/>
            <w:vAlign w:val="center"/>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p>
        </w:tc>
        <w:tc>
          <w:tcPr>
            <w:tcW w:w="4866" w:type="dxa"/>
            <w:vAlign w:val="center"/>
          </w:tcPr>
          <w:p w:rsidR="0047704E" w:rsidRPr="0047704E" w:rsidRDefault="0047704E" w:rsidP="0047704E">
            <w:pPr>
              <w:spacing w:before="100" w:beforeAutospacing="1" w:after="100" w:afterAutospacing="1" w:line="240" w:lineRule="auto"/>
              <w:rPr>
                <w:rFonts w:ascii="Times New Roman" w:eastAsia="Times New Roman" w:hAnsi="Times New Roman" w:cs="Times New Roman"/>
                <w:i/>
                <w:iCs/>
                <w:color w:val="990033"/>
                <w:sz w:val="24"/>
                <w:szCs w:val="24"/>
              </w:rPr>
            </w:pPr>
          </w:p>
        </w:tc>
      </w:tr>
      <w:tr w:rsidR="0047704E" w:rsidRPr="0047704E" w:rsidTr="0047704E">
        <w:trPr>
          <w:trHeight w:val="1230"/>
          <w:tblCellSpacing w:w="15" w:type="dxa"/>
        </w:trPr>
        <w:tc>
          <w:tcPr>
            <w:tcW w:w="4634" w:type="dxa"/>
            <w:vAlign w:val="center"/>
            <w:hideMark/>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r w:rsidRPr="0047704E">
              <w:rPr>
                <w:rFonts w:ascii="Times New Roman" w:eastAsia="Times New Roman" w:hAnsi="Times New Roman" w:cs="Times New Roman"/>
                <w:i/>
                <w:iCs/>
                <w:color w:val="990033"/>
                <w:sz w:val="24"/>
                <w:szCs w:val="24"/>
              </w:rPr>
              <w:t>Transgenic (TG)/TG with drug</w:t>
            </w:r>
          </w:p>
        </w:tc>
        <w:tc>
          <w:tcPr>
            <w:tcW w:w="4866" w:type="dxa"/>
            <w:vAlign w:val="center"/>
            <w:hideMark/>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r w:rsidRPr="0047704E">
              <w:rPr>
                <w:rFonts w:ascii="Times New Roman" w:eastAsia="Times New Roman" w:hAnsi="Times New Roman" w:cs="Times New Roman"/>
                <w:i/>
                <w:iCs/>
                <w:color w:val="990033"/>
                <w:sz w:val="24"/>
                <w:szCs w:val="24"/>
              </w:rPr>
              <w:t>Label carcass TG and LAR will dispose of it accordingly (i.e. Incineration)</w:t>
            </w:r>
            <w:r>
              <w:rPr>
                <w:rFonts w:ascii="Times New Roman" w:eastAsia="Times New Roman" w:hAnsi="Times New Roman" w:cs="Times New Roman"/>
                <w:i/>
                <w:iCs/>
                <w:color w:val="990033"/>
                <w:sz w:val="24"/>
                <w:szCs w:val="24"/>
              </w:rPr>
              <w:t>—PROHIBITED from disposal into the waste stream</w:t>
            </w:r>
          </w:p>
        </w:tc>
      </w:tr>
      <w:tr w:rsidR="0047704E" w:rsidRPr="0047704E" w:rsidTr="0047704E">
        <w:trPr>
          <w:trHeight w:val="1110"/>
          <w:tblCellSpacing w:w="15" w:type="dxa"/>
        </w:trPr>
        <w:tc>
          <w:tcPr>
            <w:tcW w:w="4634" w:type="dxa"/>
            <w:vAlign w:val="center"/>
            <w:hideMark/>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r w:rsidRPr="0047704E">
              <w:rPr>
                <w:rFonts w:ascii="Times New Roman" w:eastAsia="Times New Roman" w:hAnsi="Times New Roman" w:cs="Times New Roman"/>
                <w:i/>
                <w:iCs/>
                <w:color w:val="990033"/>
                <w:sz w:val="24"/>
                <w:szCs w:val="24"/>
              </w:rPr>
              <w:t xml:space="preserve">Contaminated (any drugs used for surgery or injection) </w:t>
            </w:r>
          </w:p>
        </w:tc>
        <w:tc>
          <w:tcPr>
            <w:tcW w:w="4866" w:type="dxa"/>
            <w:vAlign w:val="center"/>
            <w:hideMark/>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r w:rsidRPr="0047704E">
              <w:rPr>
                <w:rFonts w:ascii="Times New Roman" w:eastAsia="Times New Roman" w:hAnsi="Times New Roman" w:cs="Times New Roman"/>
                <w:i/>
                <w:iCs/>
                <w:color w:val="990033"/>
                <w:sz w:val="24"/>
                <w:szCs w:val="24"/>
              </w:rPr>
              <w:t>Place in designated freezer and LAR will dispose of accordingly</w:t>
            </w:r>
          </w:p>
        </w:tc>
      </w:tr>
      <w:tr w:rsidR="0047704E" w:rsidRPr="0047704E" w:rsidTr="0047704E">
        <w:trPr>
          <w:trHeight w:val="1305"/>
          <w:tblCellSpacing w:w="15" w:type="dxa"/>
        </w:trPr>
        <w:tc>
          <w:tcPr>
            <w:tcW w:w="4634" w:type="dxa"/>
            <w:vAlign w:val="center"/>
            <w:hideMark/>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r w:rsidRPr="0047704E">
              <w:rPr>
                <w:rFonts w:ascii="Times New Roman" w:eastAsia="Times New Roman" w:hAnsi="Times New Roman" w:cs="Times New Roman"/>
                <w:i/>
                <w:iCs/>
                <w:color w:val="990033"/>
                <w:sz w:val="24"/>
                <w:szCs w:val="24"/>
              </w:rPr>
              <w:t>Chemically injected carcasses</w:t>
            </w:r>
          </w:p>
        </w:tc>
        <w:tc>
          <w:tcPr>
            <w:tcW w:w="4866" w:type="dxa"/>
            <w:vAlign w:val="center"/>
            <w:hideMark/>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r w:rsidRPr="0047704E">
              <w:rPr>
                <w:rFonts w:ascii="Times New Roman" w:eastAsia="Times New Roman" w:hAnsi="Times New Roman" w:cs="Times New Roman"/>
                <w:i/>
                <w:iCs/>
                <w:color w:val="990033"/>
                <w:sz w:val="24"/>
                <w:szCs w:val="24"/>
              </w:rPr>
              <w:t xml:space="preserve">Place </w:t>
            </w:r>
            <w:r>
              <w:rPr>
                <w:rFonts w:ascii="Times New Roman" w:eastAsia="Times New Roman" w:hAnsi="Times New Roman" w:cs="Times New Roman"/>
                <w:i/>
                <w:iCs/>
                <w:color w:val="990033"/>
                <w:sz w:val="24"/>
                <w:szCs w:val="24"/>
              </w:rPr>
              <w:t xml:space="preserve">them </w:t>
            </w:r>
            <w:r w:rsidRPr="0047704E">
              <w:rPr>
                <w:rFonts w:ascii="Times New Roman" w:eastAsia="Times New Roman" w:hAnsi="Times New Roman" w:cs="Times New Roman"/>
                <w:i/>
                <w:iCs/>
                <w:color w:val="990033"/>
                <w:sz w:val="24"/>
                <w:szCs w:val="24"/>
              </w:rPr>
              <w:t xml:space="preserve">in </w:t>
            </w:r>
            <w:r>
              <w:rPr>
                <w:rFonts w:ascii="Times New Roman" w:eastAsia="Times New Roman" w:hAnsi="Times New Roman" w:cs="Times New Roman"/>
                <w:i/>
                <w:iCs/>
                <w:color w:val="990033"/>
                <w:sz w:val="24"/>
                <w:szCs w:val="24"/>
              </w:rPr>
              <w:t xml:space="preserve">the </w:t>
            </w:r>
            <w:r w:rsidRPr="0047704E">
              <w:rPr>
                <w:rFonts w:ascii="Times New Roman" w:eastAsia="Times New Roman" w:hAnsi="Times New Roman" w:cs="Times New Roman"/>
                <w:i/>
                <w:iCs/>
                <w:color w:val="990033"/>
                <w:sz w:val="24"/>
                <w:szCs w:val="24"/>
              </w:rPr>
              <w:t xml:space="preserve">designated freezer and LAR will have them picked up by risk management for proper disposal. </w:t>
            </w:r>
          </w:p>
        </w:tc>
      </w:tr>
      <w:tr w:rsidR="0047704E" w:rsidRPr="0047704E" w:rsidTr="0047704E">
        <w:trPr>
          <w:trHeight w:val="166"/>
          <w:tblCellSpacing w:w="15" w:type="dxa"/>
        </w:trPr>
        <w:tc>
          <w:tcPr>
            <w:tcW w:w="4634" w:type="dxa"/>
            <w:vAlign w:val="center"/>
            <w:hideMark/>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r w:rsidRPr="0047704E">
              <w:rPr>
                <w:rFonts w:ascii="Times New Roman" w:eastAsia="Times New Roman" w:hAnsi="Times New Roman" w:cs="Times New Roman"/>
                <w:i/>
                <w:iCs/>
                <w:color w:val="990033"/>
                <w:sz w:val="24"/>
                <w:szCs w:val="24"/>
              </w:rPr>
              <w:t>BSL-2</w:t>
            </w:r>
          </w:p>
        </w:tc>
        <w:tc>
          <w:tcPr>
            <w:tcW w:w="4866" w:type="dxa"/>
            <w:vAlign w:val="center"/>
            <w:hideMark/>
          </w:tcPr>
          <w:p w:rsidR="0047704E" w:rsidRPr="0047704E" w:rsidRDefault="0047704E" w:rsidP="0047704E">
            <w:pPr>
              <w:spacing w:before="100" w:beforeAutospacing="1" w:after="100" w:afterAutospacing="1" w:line="240" w:lineRule="auto"/>
              <w:rPr>
                <w:rFonts w:ascii="Times New Roman" w:eastAsia="Times New Roman" w:hAnsi="Times New Roman" w:cs="Times New Roman"/>
                <w:color w:val="990033"/>
                <w:sz w:val="24"/>
                <w:szCs w:val="24"/>
              </w:rPr>
            </w:pPr>
            <w:r w:rsidRPr="0047704E">
              <w:rPr>
                <w:rFonts w:ascii="Times New Roman" w:eastAsia="Times New Roman" w:hAnsi="Times New Roman" w:cs="Times New Roman"/>
                <w:i/>
                <w:iCs/>
                <w:color w:val="990033"/>
                <w:sz w:val="24"/>
                <w:szCs w:val="24"/>
              </w:rPr>
              <w:t>Autoclave out and then dispose of in LAR trash</w:t>
            </w:r>
          </w:p>
        </w:tc>
      </w:tr>
    </w:tbl>
    <w:p w:rsidR="0047704E" w:rsidRDefault="0047704E" w:rsidP="0047704E">
      <w:pPr>
        <w:spacing w:before="100" w:beforeAutospacing="1" w:after="100" w:afterAutospacing="1" w:line="240" w:lineRule="auto"/>
        <w:rPr>
          <w:rFonts w:ascii="Times New Roman" w:eastAsia="Times New Roman" w:hAnsi="Times New Roman" w:cs="Times New Roman"/>
          <w:i/>
          <w:iCs/>
          <w:sz w:val="24"/>
          <w:szCs w:val="24"/>
        </w:rPr>
      </w:pPr>
      <w:r w:rsidRPr="0047704E">
        <w:rPr>
          <w:rFonts w:ascii="Times New Roman" w:eastAsia="Times New Roman" w:hAnsi="Times New Roman" w:cs="Times New Roman"/>
          <w:i/>
          <w:iCs/>
          <w:sz w:val="24"/>
          <w:szCs w:val="24"/>
        </w:rPr>
        <w:t>NIH GUIDELINES FOR RESEARCH INVOLVING RECOMBINANT OR SYNTHETIC NUCLEIC ACID MOLECULES (NIH GUIDELINES). DEPARTMENT OF HEALTH AND HUMAN SERVICES. National Institute of Health, Apr. 2019, osp.od.nih.gov/wp-content/uploads/NIH_Guidelines.pdf.  p.128.</w:t>
      </w:r>
    </w:p>
    <w:p w:rsidR="0047704E" w:rsidRPr="0047704E" w:rsidRDefault="0047704E" w:rsidP="0047704E">
      <w:p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i/>
          <w:iCs/>
          <w:color w:val="990033"/>
          <w:sz w:val="24"/>
          <w:szCs w:val="24"/>
        </w:rPr>
        <w:lastRenderedPageBreak/>
        <w:t>*</w:t>
      </w:r>
      <w:r>
        <w:rPr>
          <w:rFonts w:ascii="Times New Roman" w:eastAsia="Times New Roman" w:hAnsi="Times New Roman" w:cs="Times New Roman"/>
          <w:i/>
          <w:iCs/>
          <w:color w:val="990033"/>
          <w:sz w:val="24"/>
          <w:szCs w:val="24"/>
        </w:rPr>
        <w:t xml:space="preserve">NIH </w:t>
      </w:r>
      <w:r w:rsidRPr="0047704E">
        <w:rPr>
          <w:rFonts w:ascii="Times New Roman" w:eastAsia="Times New Roman" w:hAnsi="Times New Roman" w:cs="Times New Roman"/>
          <w:i/>
          <w:iCs/>
          <w:color w:val="990033"/>
          <w:sz w:val="24"/>
          <w:szCs w:val="24"/>
        </w:rPr>
        <w:t>Appendix M. When an animal covered by Appendix M containing recombinant or synthetic nucleic acid molecules or a recombinant or synthetic nucleic acid molecule-derived organism is euthanized or dies, the carcass shall be disposed of to avoid its use as food for animals.    </w:t>
      </w:r>
    </w:p>
    <w:p w:rsidR="0047704E" w:rsidRPr="0047704E" w:rsidRDefault="0047704E" w:rsidP="0047704E">
      <w:p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b/>
          <w:bCs/>
          <w:sz w:val="24"/>
          <w:szCs w:val="24"/>
        </w:rPr>
        <w:t>VI. IP Pentobarbital Euthanasia for Rodents</w:t>
      </w:r>
      <w:r>
        <w:rPr>
          <w:rFonts w:ascii="Times New Roman" w:eastAsia="Times New Roman" w:hAnsi="Times New Roman" w:cs="Times New Roman"/>
          <w:b/>
          <w:bCs/>
          <w:sz w:val="24"/>
          <w:szCs w:val="24"/>
        </w:rPr>
        <w:t>/Animals</w:t>
      </w:r>
      <w:r w:rsidRPr="0047704E">
        <w:rPr>
          <w:rFonts w:ascii="Times New Roman" w:eastAsia="Times New Roman" w:hAnsi="Times New Roman" w:cs="Times New Roman"/>
          <w:sz w:val="24"/>
          <w:szCs w:val="24"/>
        </w:rPr>
        <w:br/>
        <w:t>This method is used for rodents</w:t>
      </w:r>
      <w:r>
        <w:rPr>
          <w:rFonts w:ascii="Times New Roman" w:eastAsia="Times New Roman" w:hAnsi="Times New Roman" w:cs="Times New Roman"/>
          <w:sz w:val="24"/>
          <w:szCs w:val="24"/>
        </w:rPr>
        <w:t xml:space="preserve"> and animals</w:t>
      </w:r>
      <w:r w:rsidRPr="0047704E">
        <w:rPr>
          <w:rFonts w:ascii="Times New Roman" w:eastAsia="Times New Roman" w:hAnsi="Times New Roman" w:cs="Times New Roman"/>
          <w:sz w:val="24"/>
          <w:szCs w:val="24"/>
        </w:rPr>
        <w:t xml:space="preserve"> weighing </w:t>
      </w:r>
      <w:r>
        <w:rPr>
          <w:rFonts w:ascii="Times New Roman" w:eastAsia="Times New Roman" w:hAnsi="Times New Roman" w:cs="Times New Roman"/>
          <w:sz w:val="24"/>
          <w:szCs w:val="24"/>
        </w:rPr>
        <w:t xml:space="preserve">under </w:t>
      </w:r>
      <w:r w:rsidRPr="0047704E">
        <w:rPr>
          <w:rFonts w:ascii="Times New Roman" w:eastAsia="Times New Roman" w:hAnsi="Times New Roman" w:cs="Times New Roman"/>
          <w:sz w:val="24"/>
          <w:szCs w:val="24"/>
        </w:rPr>
        <w:t>600 grams</w:t>
      </w:r>
      <w:r>
        <w:rPr>
          <w:rFonts w:ascii="Times New Roman" w:eastAsia="Times New Roman" w:hAnsi="Times New Roman" w:cs="Times New Roman"/>
          <w:sz w:val="24"/>
          <w:szCs w:val="24"/>
        </w:rPr>
        <w:t>:</w:t>
      </w:r>
    </w:p>
    <w:p w:rsidR="0047704E" w:rsidRPr="0047704E" w:rsidRDefault="0047704E" w:rsidP="004770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Inject animal with an IP</w:t>
      </w:r>
      <w:r>
        <w:rPr>
          <w:rFonts w:ascii="Times New Roman" w:eastAsia="Times New Roman" w:hAnsi="Times New Roman" w:cs="Times New Roman"/>
          <w:sz w:val="24"/>
          <w:szCs w:val="24"/>
        </w:rPr>
        <w:t xml:space="preserve"> or IV</w:t>
      </w:r>
      <w:r w:rsidRPr="0047704E">
        <w:rPr>
          <w:rFonts w:ascii="Times New Roman" w:eastAsia="Times New Roman" w:hAnsi="Times New Roman" w:cs="Times New Roman"/>
          <w:sz w:val="24"/>
          <w:szCs w:val="24"/>
        </w:rPr>
        <w:t xml:space="preserve"> overdose of pentobarbital</w:t>
      </w:r>
    </w:p>
    <w:p w:rsidR="0047704E" w:rsidRPr="0047704E" w:rsidRDefault="0047704E" w:rsidP="004770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 xml:space="preserve">Place </w:t>
      </w:r>
      <w:r>
        <w:rPr>
          <w:rFonts w:ascii="Times New Roman" w:eastAsia="Times New Roman" w:hAnsi="Times New Roman" w:cs="Times New Roman"/>
          <w:sz w:val="24"/>
          <w:szCs w:val="24"/>
        </w:rPr>
        <w:t xml:space="preserve">the </w:t>
      </w:r>
      <w:r w:rsidRPr="0047704E">
        <w:rPr>
          <w:rFonts w:ascii="Times New Roman" w:eastAsia="Times New Roman" w:hAnsi="Times New Roman" w:cs="Times New Roman"/>
          <w:sz w:val="24"/>
          <w:szCs w:val="24"/>
        </w:rPr>
        <w:t xml:space="preserve">used needle and syringe in </w:t>
      </w:r>
      <w:r>
        <w:rPr>
          <w:rFonts w:ascii="Times New Roman" w:eastAsia="Times New Roman" w:hAnsi="Times New Roman" w:cs="Times New Roman"/>
          <w:sz w:val="24"/>
          <w:szCs w:val="24"/>
        </w:rPr>
        <w:t xml:space="preserve">a </w:t>
      </w:r>
      <w:r w:rsidRPr="0047704E">
        <w:rPr>
          <w:rFonts w:ascii="Times New Roman" w:eastAsia="Times New Roman" w:hAnsi="Times New Roman" w:cs="Times New Roman"/>
          <w:sz w:val="24"/>
          <w:szCs w:val="24"/>
        </w:rPr>
        <w:t>sharps container (do not recap needle)</w:t>
      </w:r>
    </w:p>
    <w:p w:rsidR="0047704E" w:rsidRPr="0047704E" w:rsidRDefault="0047704E" w:rsidP="004770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When the animal no longer shows any vital signs, use a secondary mechanical means of euthanasia to ensure death (cervical dislocation, decapitation, or creation of pneumothorax)</w:t>
      </w:r>
      <w:r>
        <w:rPr>
          <w:rFonts w:ascii="Times New Roman" w:eastAsia="Times New Roman" w:hAnsi="Times New Roman" w:cs="Times New Roman"/>
          <w:sz w:val="24"/>
          <w:szCs w:val="24"/>
        </w:rPr>
        <w:t xml:space="preserve"> if appropriate for the species</w:t>
      </w:r>
    </w:p>
    <w:p w:rsidR="0047704E" w:rsidRDefault="0047704E" w:rsidP="004770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When the animal is confirmed dead, place the animal in</w:t>
      </w:r>
      <w:r>
        <w:rPr>
          <w:rFonts w:ascii="Times New Roman" w:eastAsia="Times New Roman" w:hAnsi="Times New Roman" w:cs="Times New Roman"/>
          <w:sz w:val="24"/>
          <w:szCs w:val="24"/>
        </w:rPr>
        <w:t xml:space="preserve"> a</w:t>
      </w:r>
      <w:r w:rsidRPr="004770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sealable </w:t>
      </w:r>
      <w:r w:rsidRPr="0047704E">
        <w:rPr>
          <w:rFonts w:ascii="Times New Roman" w:eastAsia="Times New Roman" w:hAnsi="Times New Roman" w:cs="Times New Roman"/>
          <w:sz w:val="24"/>
          <w:szCs w:val="24"/>
        </w:rPr>
        <w:t>carcass bag</w:t>
      </w:r>
      <w:r>
        <w:rPr>
          <w:rFonts w:ascii="Times New Roman" w:eastAsia="Times New Roman" w:hAnsi="Times New Roman" w:cs="Times New Roman"/>
          <w:sz w:val="24"/>
          <w:szCs w:val="24"/>
        </w:rPr>
        <w:t xml:space="preserve"> </w:t>
      </w:r>
      <w:r w:rsidRPr="0047704E">
        <w:rPr>
          <w:rFonts w:ascii="Times New Roman" w:eastAsia="Times New Roman" w:hAnsi="Times New Roman" w:cs="Times New Roman"/>
          <w:sz w:val="24"/>
          <w:szCs w:val="24"/>
        </w:rPr>
        <w:t xml:space="preserve">and label </w:t>
      </w:r>
      <w:r>
        <w:rPr>
          <w:rFonts w:ascii="Times New Roman" w:eastAsia="Times New Roman" w:hAnsi="Times New Roman" w:cs="Times New Roman"/>
          <w:sz w:val="24"/>
          <w:szCs w:val="24"/>
        </w:rPr>
        <w:t xml:space="preserve">it </w:t>
      </w:r>
      <w:r w:rsidRPr="0047704E">
        <w:rPr>
          <w:rFonts w:ascii="Times New Roman" w:eastAsia="Times New Roman" w:hAnsi="Times New Roman" w:cs="Times New Roman"/>
          <w:sz w:val="24"/>
          <w:szCs w:val="24"/>
        </w:rPr>
        <w:t>with PI name, strain, gender, etc.</w:t>
      </w:r>
    </w:p>
    <w:p w:rsidR="0047704E" w:rsidRPr="0047704E" w:rsidRDefault="0047704E" w:rsidP="004770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Discard carcasses into the appropriate LAR freezer thus ensuring compliance with NIH disposal guidelines</w:t>
      </w:r>
    </w:p>
    <w:p w:rsidR="0047704E" w:rsidRPr="0047704E" w:rsidRDefault="0047704E" w:rsidP="0047704E">
      <w:p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b/>
          <w:bCs/>
          <w:sz w:val="24"/>
          <w:szCs w:val="24"/>
        </w:rPr>
        <w:t xml:space="preserve">VII. </w:t>
      </w:r>
      <w:r>
        <w:rPr>
          <w:rFonts w:ascii="Times New Roman" w:eastAsia="Times New Roman" w:hAnsi="Times New Roman" w:cs="Times New Roman"/>
          <w:b/>
          <w:bCs/>
          <w:sz w:val="24"/>
          <w:szCs w:val="24"/>
        </w:rPr>
        <w:t>IV Pentobarbital Euthanasia for Animals Over 600 Grams</w:t>
      </w:r>
      <w:r w:rsidRPr="0047704E">
        <w:rPr>
          <w:rFonts w:ascii="Times New Roman" w:eastAsia="Times New Roman" w:hAnsi="Times New Roman" w:cs="Times New Roman"/>
          <w:sz w:val="24"/>
          <w:szCs w:val="24"/>
        </w:rPr>
        <w:br/>
      </w:r>
      <w:r>
        <w:rPr>
          <w:rFonts w:ascii="Times New Roman" w:eastAsia="Times New Roman" w:hAnsi="Times New Roman" w:cs="Times New Roman"/>
          <w:sz w:val="24"/>
          <w:szCs w:val="24"/>
        </w:rPr>
        <w:t>Pentobarbital</w:t>
      </w:r>
      <w:r w:rsidRPr="004770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47704E">
        <w:rPr>
          <w:rFonts w:ascii="Times New Roman" w:eastAsia="Times New Roman" w:hAnsi="Times New Roman" w:cs="Times New Roman"/>
          <w:sz w:val="24"/>
          <w:szCs w:val="24"/>
        </w:rPr>
        <w:t xml:space="preserve"> used on larger species such as rabbits, sheep, and non-human primates. Each species requires different dose levels to ensure painless death. It is required that trained personnel perform these procedures, under the direct supervision of the Attending Veterinarian (AV).</w:t>
      </w:r>
    </w:p>
    <w:p w:rsidR="0047704E" w:rsidRPr="0047704E" w:rsidRDefault="0047704E" w:rsidP="004770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Check with AV for proper do</w:t>
      </w:r>
      <w:r>
        <w:rPr>
          <w:rFonts w:ascii="Times New Roman" w:eastAsia="Times New Roman" w:hAnsi="Times New Roman" w:cs="Times New Roman"/>
          <w:sz w:val="24"/>
          <w:szCs w:val="24"/>
        </w:rPr>
        <w:t xml:space="preserve">sing </w:t>
      </w:r>
      <w:r w:rsidRPr="0047704E">
        <w:rPr>
          <w:rFonts w:ascii="Times New Roman" w:eastAsia="Times New Roman" w:hAnsi="Times New Roman" w:cs="Times New Roman"/>
          <w:sz w:val="24"/>
          <w:szCs w:val="24"/>
        </w:rPr>
        <w:t>requirements. Depending on the research protocol, it may be possible to administer a tranquilizer subcutaneously or intramuscularly 10-15 minutes before injection of the euthanasia solution.</w:t>
      </w:r>
    </w:p>
    <w:p w:rsidR="0047704E" w:rsidRPr="0047704E" w:rsidRDefault="0047704E" w:rsidP="004770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Use the proper needle and syringe size for the species and drug dose volume</w:t>
      </w:r>
    </w:p>
    <w:p w:rsidR="0047704E" w:rsidRPr="0047704E" w:rsidRDefault="0047704E" w:rsidP="004770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 xml:space="preserve">Euthanasia solution </w:t>
      </w:r>
      <w:r>
        <w:rPr>
          <w:rFonts w:ascii="Times New Roman" w:eastAsia="Times New Roman" w:hAnsi="Times New Roman" w:cs="Times New Roman"/>
          <w:sz w:val="24"/>
          <w:szCs w:val="24"/>
        </w:rPr>
        <w:t xml:space="preserve">must </w:t>
      </w:r>
      <w:r w:rsidRPr="0047704E">
        <w:rPr>
          <w:rFonts w:ascii="Times New Roman" w:eastAsia="Times New Roman" w:hAnsi="Times New Roman" w:cs="Times New Roman"/>
          <w:sz w:val="24"/>
          <w:szCs w:val="24"/>
        </w:rPr>
        <w:t xml:space="preserve">be obtained from the </w:t>
      </w:r>
      <w:r>
        <w:rPr>
          <w:rFonts w:ascii="Times New Roman" w:eastAsia="Times New Roman" w:hAnsi="Times New Roman" w:cs="Times New Roman"/>
          <w:sz w:val="24"/>
          <w:szCs w:val="24"/>
        </w:rPr>
        <w:t>PI.</w:t>
      </w:r>
      <w:r w:rsidRPr="0047704E">
        <w:rPr>
          <w:rFonts w:ascii="Times New Roman" w:eastAsia="Times New Roman" w:hAnsi="Times New Roman" w:cs="Times New Roman"/>
          <w:sz w:val="24"/>
          <w:szCs w:val="24"/>
        </w:rPr>
        <w:t xml:space="preserve"> All doses must be signed out and logged in the controlled substance log book</w:t>
      </w:r>
      <w:r>
        <w:rPr>
          <w:rFonts w:ascii="Times New Roman" w:eastAsia="Times New Roman" w:hAnsi="Times New Roman" w:cs="Times New Roman"/>
          <w:sz w:val="24"/>
          <w:szCs w:val="24"/>
        </w:rPr>
        <w:t xml:space="preserve"> by the PI or their research staff (if an authorized user)</w:t>
      </w:r>
    </w:p>
    <w:p w:rsidR="0047704E" w:rsidRPr="0047704E" w:rsidRDefault="0047704E" w:rsidP="004770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Use an easily identifiable vein for injection</w:t>
      </w:r>
    </w:p>
    <w:p w:rsidR="0047704E" w:rsidRPr="0047704E" w:rsidRDefault="0047704E" w:rsidP="004770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Place used needle and syringe into a sharps container (do not recap needle)</w:t>
      </w:r>
    </w:p>
    <w:p w:rsidR="0047704E" w:rsidRPr="0047704E" w:rsidRDefault="0047704E" w:rsidP="004770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When no movement is detected, check for cessation of breathing and heartbeat using a stethoscope</w:t>
      </w:r>
    </w:p>
    <w:p w:rsidR="0047704E" w:rsidRPr="0047704E" w:rsidRDefault="0047704E" w:rsidP="004770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When the animal is confirmed dead, place the animal in a</w:t>
      </w:r>
      <w:r>
        <w:rPr>
          <w:rFonts w:ascii="Times New Roman" w:eastAsia="Times New Roman" w:hAnsi="Times New Roman" w:cs="Times New Roman"/>
          <w:sz w:val="24"/>
          <w:szCs w:val="24"/>
        </w:rPr>
        <w:t xml:space="preserve">n appropriately sized cadaver </w:t>
      </w:r>
      <w:r w:rsidRPr="0047704E">
        <w:rPr>
          <w:rFonts w:ascii="Times New Roman" w:eastAsia="Times New Roman" w:hAnsi="Times New Roman" w:cs="Times New Roman"/>
          <w:sz w:val="24"/>
          <w:szCs w:val="24"/>
        </w:rPr>
        <w:t>bag  with the PI</w:t>
      </w:r>
      <w:r>
        <w:rPr>
          <w:rFonts w:ascii="Times New Roman" w:eastAsia="Times New Roman" w:hAnsi="Times New Roman" w:cs="Times New Roman"/>
          <w:sz w:val="24"/>
          <w:szCs w:val="24"/>
        </w:rPr>
        <w:t>’s</w:t>
      </w:r>
      <w:r w:rsidRPr="0047704E">
        <w:rPr>
          <w:rFonts w:ascii="Times New Roman" w:eastAsia="Times New Roman" w:hAnsi="Times New Roman" w:cs="Times New Roman"/>
          <w:sz w:val="24"/>
          <w:szCs w:val="24"/>
        </w:rPr>
        <w:t xml:space="preserve"> name, animal strain, gender, ID, and the euthanasia drug used</w:t>
      </w:r>
    </w:p>
    <w:p w:rsidR="0047704E" w:rsidRPr="0047704E" w:rsidRDefault="0047704E" w:rsidP="004770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704E">
        <w:rPr>
          <w:rFonts w:ascii="Times New Roman" w:eastAsia="Times New Roman" w:hAnsi="Times New Roman" w:cs="Times New Roman"/>
          <w:sz w:val="24"/>
          <w:szCs w:val="24"/>
        </w:rPr>
        <w:t>Place the bag in the appropriate LAR carcass freezer</w:t>
      </w:r>
    </w:p>
    <w:p w:rsidR="000B5E2A" w:rsidRDefault="000B5E2A"/>
    <w:sectPr w:rsidR="000B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E82"/>
    <w:multiLevelType w:val="multilevel"/>
    <w:tmpl w:val="B88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53C36"/>
    <w:multiLevelType w:val="multilevel"/>
    <w:tmpl w:val="3698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054CF"/>
    <w:multiLevelType w:val="multilevel"/>
    <w:tmpl w:val="C37A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F54F1"/>
    <w:multiLevelType w:val="multilevel"/>
    <w:tmpl w:val="DFA6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TQ0sTA3MDUzNjA2szRU0lEKTi0uzszPAykwrAUAgbsnBSwAAAA="/>
  </w:docVars>
  <w:rsids>
    <w:rsidRoot w:val="0047704E"/>
    <w:rsid w:val="00085BA8"/>
    <w:rsid w:val="000B5E2A"/>
    <w:rsid w:val="0047704E"/>
    <w:rsid w:val="00BC17B5"/>
    <w:rsid w:val="00D82146"/>
    <w:rsid w:val="00EE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4506D"/>
  <w15:chartTrackingRefBased/>
  <w15:docId w15:val="{7277ECF2-4EA1-46F9-AB61-89969E6C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770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04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770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77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04E"/>
    <w:rPr>
      <w:b/>
      <w:bCs/>
    </w:rPr>
  </w:style>
  <w:style w:type="character" w:styleId="Hyperlink">
    <w:name w:val="Hyperlink"/>
    <w:basedOn w:val="DefaultParagraphFont"/>
    <w:uiPriority w:val="99"/>
    <w:semiHidden/>
    <w:unhideWhenUsed/>
    <w:rsid w:val="0047704E"/>
    <w:rPr>
      <w:color w:val="0000FF"/>
      <w:u w:val="single"/>
    </w:rPr>
  </w:style>
  <w:style w:type="character" w:styleId="Emphasis">
    <w:name w:val="Emphasis"/>
    <w:basedOn w:val="DefaultParagraphFont"/>
    <w:uiPriority w:val="20"/>
    <w:qFormat/>
    <w:rsid w:val="0047704E"/>
    <w:rPr>
      <w:i/>
      <w:iCs/>
    </w:rPr>
  </w:style>
  <w:style w:type="paragraph" w:styleId="NoSpacing">
    <w:name w:val="No Spacing"/>
    <w:uiPriority w:val="1"/>
    <w:qFormat/>
    <w:rsid w:val="00085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4681">
      <w:bodyDiv w:val="1"/>
      <w:marLeft w:val="0"/>
      <w:marRight w:val="0"/>
      <w:marTop w:val="0"/>
      <w:marBottom w:val="0"/>
      <w:divBdr>
        <w:top w:val="none" w:sz="0" w:space="0" w:color="auto"/>
        <w:left w:val="none" w:sz="0" w:space="0" w:color="auto"/>
        <w:bottom w:val="none" w:sz="0" w:space="0" w:color="auto"/>
        <w:right w:val="none" w:sz="0" w:space="0" w:color="auto"/>
      </w:divBdr>
      <w:divsChild>
        <w:div w:id="1660309266">
          <w:marLeft w:val="0"/>
          <w:marRight w:val="0"/>
          <w:marTop w:val="0"/>
          <w:marBottom w:val="0"/>
          <w:divBdr>
            <w:top w:val="none" w:sz="0" w:space="0" w:color="auto"/>
            <w:left w:val="none" w:sz="0" w:space="0" w:color="auto"/>
            <w:bottom w:val="none" w:sz="0" w:space="0" w:color="auto"/>
            <w:right w:val="none" w:sz="0" w:space="0" w:color="auto"/>
          </w:divBdr>
          <w:divsChild>
            <w:div w:id="568153947">
              <w:marLeft w:val="0"/>
              <w:marRight w:val="0"/>
              <w:marTop w:val="0"/>
              <w:marBottom w:val="0"/>
              <w:divBdr>
                <w:top w:val="none" w:sz="0" w:space="0" w:color="auto"/>
                <w:left w:val="none" w:sz="0" w:space="0" w:color="auto"/>
                <w:bottom w:val="none" w:sz="0" w:space="0" w:color="auto"/>
                <w:right w:val="none" w:sz="0" w:space="0" w:color="auto"/>
              </w:divBdr>
              <w:divsChild>
                <w:div w:id="1047608462">
                  <w:marLeft w:val="0"/>
                  <w:marRight w:val="0"/>
                  <w:marTop w:val="0"/>
                  <w:marBottom w:val="0"/>
                  <w:divBdr>
                    <w:top w:val="none" w:sz="0" w:space="0" w:color="auto"/>
                    <w:left w:val="none" w:sz="0" w:space="0" w:color="auto"/>
                    <w:bottom w:val="none" w:sz="0" w:space="0" w:color="auto"/>
                    <w:right w:val="none" w:sz="0" w:space="0" w:color="auto"/>
                  </w:divBdr>
                  <w:divsChild>
                    <w:div w:id="4726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6423">
          <w:marLeft w:val="0"/>
          <w:marRight w:val="0"/>
          <w:marTop w:val="0"/>
          <w:marBottom w:val="0"/>
          <w:divBdr>
            <w:top w:val="none" w:sz="0" w:space="0" w:color="auto"/>
            <w:left w:val="none" w:sz="0" w:space="0" w:color="auto"/>
            <w:bottom w:val="none" w:sz="0" w:space="0" w:color="auto"/>
            <w:right w:val="none" w:sz="0" w:space="0" w:color="auto"/>
          </w:divBdr>
          <w:divsChild>
            <w:div w:id="1105661709">
              <w:marLeft w:val="0"/>
              <w:marRight w:val="0"/>
              <w:marTop w:val="0"/>
              <w:marBottom w:val="0"/>
              <w:divBdr>
                <w:top w:val="none" w:sz="0" w:space="0" w:color="auto"/>
                <w:left w:val="none" w:sz="0" w:space="0" w:color="auto"/>
                <w:bottom w:val="none" w:sz="0" w:space="0" w:color="auto"/>
                <w:right w:val="none" w:sz="0" w:space="0" w:color="auto"/>
              </w:divBdr>
              <w:divsChild>
                <w:div w:id="1746799115">
                  <w:marLeft w:val="0"/>
                  <w:marRight w:val="0"/>
                  <w:marTop w:val="0"/>
                  <w:marBottom w:val="0"/>
                  <w:divBdr>
                    <w:top w:val="none" w:sz="0" w:space="0" w:color="auto"/>
                    <w:left w:val="none" w:sz="0" w:space="0" w:color="auto"/>
                    <w:bottom w:val="none" w:sz="0" w:space="0" w:color="auto"/>
                    <w:right w:val="none" w:sz="0" w:space="0" w:color="auto"/>
                  </w:divBdr>
                  <w:divsChild>
                    <w:div w:id="13753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mt.edu/research/compliance/iacuc/vetguidelines/euthanasi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Pam</dc:creator>
  <cp:keywords/>
  <dc:description/>
  <cp:lastModifiedBy>Rowe, Jessica</cp:lastModifiedBy>
  <cp:revision>5</cp:revision>
  <dcterms:created xsi:type="dcterms:W3CDTF">2024-05-02T19:36:00Z</dcterms:created>
  <dcterms:modified xsi:type="dcterms:W3CDTF">2024-05-06T17:36:00Z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eb532e6f-de55-48f1-87b1-863fc95fd313</vt:lpwstr>
  </property>
</Properties>
</file>