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C46487">
        <w:rPr>
          <w:rStyle w:val="Heading1Char"/>
          <w:rFonts w:eastAsiaTheme="minorHAnsi"/>
        </w:rPr>
        <w:t>1/</w:t>
      </w:r>
      <w:r w:rsidR="000B0ABD">
        <w:rPr>
          <w:rStyle w:val="Heading1Char"/>
          <w:rFonts w:eastAsiaTheme="minorHAnsi"/>
        </w:rPr>
        <w:t>31</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936DE1">
        <w:rPr>
          <w:rFonts w:ascii="Arial" w:hAnsi="Arial" w:cs="Arial"/>
        </w:rPr>
        <w:t>Skaggs 174</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1C4424" w:rsidRDefault="00503914" w:rsidP="00503914">
      <w:r>
        <w:t>Members Present:</w:t>
      </w:r>
      <w:r w:rsidR="0050051C">
        <w:t xml:space="preserve"> </w:t>
      </w:r>
      <w:r>
        <w:t xml:space="preserve">D. Coffin, </w:t>
      </w:r>
      <w:r w:rsidR="00FC41DE">
        <w:t xml:space="preserve">I. Crummy, </w:t>
      </w:r>
      <w:r>
        <w:t xml:space="preserve">J. Eglin, </w:t>
      </w:r>
      <w:r w:rsidR="00FC41DE">
        <w:t xml:space="preserve">C. Fitzpatrick, </w:t>
      </w:r>
      <w:r w:rsidR="000B0ABD">
        <w:t xml:space="preserve">N. Greymorning, </w:t>
      </w:r>
      <w:r w:rsidR="00FC41DE">
        <w:t xml:space="preserve">B. Hillman, </w:t>
      </w:r>
      <w:r w:rsidR="000B0ABD">
        <w:t xml:space="preserve">B. Love, </w:t>
      </w:r>
      <w:r w:rsidR="00A461FB">
        <w:t>T. Missett</w:t>
      </w:r>
      <w:r w:rsidR="003A40A8">
        <w:t>,</w:t>
      </w:r>
      <w:r w:rsidR="00A461FB">
        <w:t xml:space="preserve"> </w:t>
      </w:r>
      <w:r w:rsidR="009F1EF2">
        <w:t xml:space="preserve">D. Morell, </w:t>
      </w:r>
      <w:r>
        <w:t>G. St. George,</w:t>
      </w:r>
      <w:r w:rsidRPr="008D6282">
        <w:t xml:space="preserve"> </w:t>
      </w:r>
      <w:r>
        <w:t>E. Uchimoto</w:t>
      </w:r>
      <w:r w:rsidR="0012348F">
        <w:t xml:space="preserve">, </w:t>
      </w:r>
      <w:r w:rsidR="0012348F" w:rsidRPr="0012348F">
        <w:t xml:space="preserve"> </w:t>
      </w:r>
      <w:r w:rsidR="0012348F" w:rsidRPr="008D6282">
        <w:t>G.G. Weix</w:t>
      </w:r>
      <w:r w:rsidR="0012348F">
        <w:br/>
      </w:r>
      <w:r>
        <w:t>Ex-Officio Present</w:t>
      </w:r>
      <w:r w:rsidR="000B0ABD">
        <w:t>: J. Hickman</w:t>
      </w:r>
      <w:r w:rsidR="00FC25E9">
        <w:t xml:space="preserve">, </w:t>
      </w:r>
      <w:r w:rsidR="00375625">
        <w:t>N. Lindsay</w:t>
      </w:r>
      <w:r w:rsidR="00FC66FB">
        <w:br/>
      </w:r>
      <w:r>
        <w:t>Members Excused:</w:t>
      </w:r>
      <w:r w:rsidR="0012348F">
        <w:t xml:space="preserve"> </w:t>
      </w:r>
      <w:r w:rsidR="003A40A8" w:rsidRPr="008D6282">
        <w:t>M. Boller</w:t>
      </w:r>
      <w:r w:rsidR="00F15179">
        <w:t>,</w:t>
      </w:r>
      <w:r w:rsidR="00C46487" w:rsidRPr="00C46487">
        <w:t xml:space="preserve"> </w:t>
      </w:r>
      <w:r w:rsidR="003A40A8">
        <w:t>K. Lamar</w:t>
      </w:r>
      <w:r w:rsidR="00FC41DE">
        <w:t>,</w:t>
      </w:r>
      <w:r w:rsidR="00FC41DE" w:rsidRPr="00FC41DE">
        <w:t xml:space="preserve"> </w:t>
      </w:r>
      <w:r w:rsidR="000B0ABD">
        <w:t xml:space="preserve">B. French M. Semanoff,  B. </w:t>
      </w:r>
      <w:r w:rsidR="000B0ABD" w:rsidRPr="009C7A48">
        <w:t>Holzworth</w:t>
      </w:r>
      <w:r w:rsidR="000B0ABD">
        <w:t xml:space="preserve"> </w:t>
      </w:r>
      <w:r w:rsidR="00FC66FB">
        <w:br/>
      </w:r>
      <w:r w:rsidR="00623E4A">
        <w:t xml:space="preserve">Guest: </w:t>
      </w:r>
      <w:r w:rsidR="00FC41DE">
        <w:t xml:space="preserve"> </w:t>
      </w:r>
      <w:r w:rsidR="000B0ABD">
        <w:t>C. Greenfield</w:t>
      </w:r>
    </w:p>
    <w:p w:rsidR="00503914" w:rsidRDefault="00503914" w:rsidP="00503914">
      <w:r w:rsidRPr="002F0AD7">
        <w:t>The minutes from</w:t>
      </w:r>
      <w:r>
        <w:t xml:space="preserve"> </w:t>
      </w:r>
      <w:r w:rsidR="00A461FB">
        <w:t>1</w:t>
      </w:r>
      <w:r w:rsidR="0050051C">
        <w:t>1</w:t>
      </w:r>
      <w:r w:rsidR="009F1EF2">
        <w:t>/</w:t>
      </w:r>
      <w:r w:rsidR="000B0ABD">
        <w:t>29</w:t>
      </w:r>
      <w:r w:rsidRPr="002F0AD7">
        <w:t>/16 were</w:t>
      </w:r>
      <w:r w:rsidR="001B119C">
        <w:t xml:space="preserve"> </w:t>
      </w:r>
      <w:r w:rsidRPr="002F0AD7">
        <w:t xml:space="preserve">approved. </w:t>
      </w:r>
    </w:p>
    <w:p w:rsidR="00747F3D" w:rsidRDefault="00747F3D" w:rsidP="000B1392">
      <w:pPr>
        <w:pStyle w:val="Heading2"/>
      </w:pPr>
      <w:r>
        <w:t xml:space="preserve">Communication: </w:t>
      </w:r>
      <w:r w:rsidR="000B1392">
        <w:br/>
      </w:r>
    </w:p>
    <w:p w:rsidR="000B0ABD" w:rsidRDefault="000B0ABD" w:rsidP="00BB37EF">
      <w:pPr>
        <w:pStyle w:val="ListParagraph"/>
        <w:numPr>
          <w:ilvl w:val="0"/>
          <w:numId w:val="27"/>
        </w:numPr>
      </w:pPr>
      <w:r>
        <w:t xml:space="preserve">Professors Greymorning and student member </w:t>
      </w:r>
      <w:r w:rsidRPr="000B0ABD">
        <w:rPr>
          <w:rFonts w:cs="Arial"/>
        </w:rPr>
        <w:t>Brenna Love</w:t>
      </w:r>
      <w:r>
        <w:t xml:space="preserve"> were welcomed. </w:t>
      </w:r>
      <w:r>
        <w:br/>
      </w:r>
    </w:p>
    <w:p w:rsidR="000B0ABD" w:rsidRDefault="000B0ABD" w:rsidP="00BB37EF">
      <w:pPr>
        <w:pStyle w:val="ListParagraph"/>
        <w:numPr>
          <w:ilvl w:val="0"/>
          <w:numId w:val="27"/>
        </w:numPr>
      </w:pPr>
      <w:r>
        <w:t xml:space="preserve">Chair Eglin was invited to last week’s ECOS meeting to discuss shared governances involvement in a potential program prioritization initiative.  Representatives from ASUM, the UFA, Staff Senate and Graduate Council were also at the meeting.   The Senate leadership would like to get out in front of this issue.   </w:t>
      </w:r>
      <w:r>
        <w:br/>
      </w:r>
    </w:p>
    <w:p w:rsidR="000B0ABD" w:rsidRDefault="000B0ABD" w:rsidP="00BB37EF">
      <w:pPr>
        <w:pStyle w:val="ListParagraph"/>
        <w:numPr>
          <w:ilvl w:val="0"/>
          <w:numId w:val="27"/>
        </w:numPr>
      </w:pPr>
      <w:r>
        <w:t xml:space="preserve">OCHE did not approve establishing a system-wide rubric for the College of Humanities and Sciences or Global Humanities and Religions.   Other campuses are currently using the LSH rubric for Liberal Studies.   Although the department’s name changed the rubric will remain LSH.  The College’s rubric was not approved because according to OCHE a rubric should represent a field of study not a specific College or Department.   </w:t>
      </w:r>
    </w:p>
    <w:p w:rsidR="000B0ABD" w:rsidRDefault="000B0ABD" w:rsidP="000B0ABD">
      <w:pPr>
        <w:pStyle w:val="ListParagraph"/>
        <w:ind w:left="360"/>
      </w:pPr>
    </w:p>
    <w:p w:rsidR="000B0ABD" w:rsidRDefault="000B0ABD" w:rsidP="00BB37EF">
      <w:pPr>
        <w:pStyle w:val="ListParagraph"/>
        <w:numPr>
          <w:ilvl w:val="0"/>
          <w:numId w:val="27"/>
        </w:numPr>
      </w:pPr>
      <w:r>
        <w:t xml:space="preserve">There is a Taskforce focusing on </w:t>
      </w:r>
      <w:proofErr w:type="spellStart"/>
      <w:r>
        <w:t>prereq</w:t>
      </w:r>
      <w:proofErr w:type="spellEnd"/>
      <w:r>
        <w:t xml:space="preserve"> /</w:t>
      </w:r>
      <w:proofErr w:type="spellStart"/>
      <w:r>
        <w:t>coreq</w:t>
      </w:r>
      <w:proofErr w:type="spellEnd"/>
      <w:r>
        <w:t xml:space="preserve"> support courses that has been reviewing retention data.  Professor Coffin has been involved with this group and is specifically concerned with the attrition rate of students taking the CHEM 141 and 142 which is a general education science course and a prerequisite for many pre-med majors.   The Chemistry department is aware of this issue and developed a flow chart that shows the development path for students to be successful in this course.  Many students who fail this course leave the university.  This is a concern particularly given the current enrollment trends.    Why are these students leaving?  The university needs to provide better support for these students to succeed.  The standards in this sequence are intended for Chemistry majors.  Should there be a separate course for non-majors?  These are questions that should be addressed.  Faculty should be concerned about these retention type issues and work together to identify and resolve barriers to student success.   Departments should be sent the data to evaluate internal issues.  ASCRC will need to decide how it should be involved.  One possibility would be to reconsider participation in the program review process.   It may be helpful to invite </w:t>
      </w:r>
      <w:r>
        <w:lastRenderedPageBreak/>
        <w:t xml:space="preserve">Dawn Ressel to a meeting to provide information about the type of data analysis reports currently available and cautions regarding interpreting the data.    </w:t>
      </w:r>
    </w:p>
    <w:p w:rsidR="00260E8E" w:rsidRDefault="00BB37EF" w:rsidP="004B380A">
      <w:pPr>
        <w:pStyle w:val="Heading2"/>
      </w:pPr>
      <w:r>
        <w:t>Business Items</w:t>
      </w:r>
      <w:r w:rsidR="00FC41DE">
        <w:br/>
      </w:r>
    </w:p>
    <w:p w:rsidR="000B0ABD" w:rsidRDefault="000B0ABD" w:rsidP="00FC41DE">
      <w:pPr>
        <w:pStyle w:val="ListParagraph"/>
        <w:numPr>
          <w:ilvl w:val="0"/>
          <w:numId w:val="32"/>
        </w:numPr>
      </w:pPr>
      <w:r>
        <w:t xml:space="preserve">The following curriculum follow-up items were approved from the Social Science Subcommittee.   Professor Greymorning is appealing the General Education Committee’s decision not to renew the ethics designation for NAS 326.  Initially ASCRC did not approve the title change because of potential confusion for students.    Although the subcommittee and ASCRC were in favor of approving the </w:t>
      </w:r>
      <w:proofErr w:type="spellStart"/>
      <w:r>
        <w:t>crosslisting</w:t>
      </w:r>
      <w:proofErr w:type="spellEnd"/>
      <w:r>
        <w:t xml:space="preserve"> requests from Anthropology they were not approved because Deputy Commissioner </w:t>
      </w:r>
      <w:proofErr w:type="spellStart"/>
      <w:r w:rsidR="00AA55D8" w:rsidRPr="00AA55D8">
        <w:t>Cech</w:t>
      </w:r>
      <w:proofErr w:type="spellEnd"/>
      <w:r>
        <w:t xml:space="preserve"> sent a correspondence to interim Provost Edmond mandating </w:t>
      </w:r>
      <w:proofErr w:type="spellStart"/>
      <w:r>
        <w:t>crosslisting</w:t>
      </w:r>
      <w:proofErr w:type="spellEnd"/>
      <w:r>
        <w:t xml:space="preserve"> </w:t>
      </w:r>
      <w:proofErr w:type="gramStart"/>
      <w:r>
        <w:t>be</w:t>
      </w:r>
      <w:proofErr w:type="gramEnd"/>
      <w:r>
        <w:t xml:space="preserve"> </w:t>
      </w:r>
      <w:r w:rsidR="00AA55D8">
        <w:t xml:space="preserve">phased out by Fall 2017 </w:t>
      </w:r>
      <w:r>
        <w:t xml:space="preserve">[The email correspondence was sent to committee members after the meeting.]   ASCRC should consider drafting a message to departments informing them of this mandate and offer a way for them to update their curriculum to allow multiple rubrics in interdisciplinary majors. </w:t>
      </w:r>
    </w:p>
    <w:p w:rsidR="000B0ABD" w:rsidRDefault="000B0ABD" w:rsidP="000B0ABD"/>
    <w:tbl>
      <w:tblPr>
        <w:tblW w:w="7745" w:type="dxa"/>
        <w:tblInd w:w="1458" w:type="dxa"/>
        <w:tblLook w:val="04A0" w:firstRow="1" w:lastRow="0" w:firstColumn="1" w:lastColumn="0" w:noHBand="0" w:noVBand="1"/>
      </w:tblPr>
      <w:tblGrid>
        <w:gridCol w:w="1710"/>
        <w:gridCol w:w="2700"/>
        <w:gridCol w:w="3335"/>
      </w:tblGrid>
      <w:tr w:rsidR="000B0ABD" w:rsidRPr="00F1693E" w:rsidTr="000B0ABD">
        <w:trPr>
          <w:trHeight w:val="300"/>
        </w:trPr>
        <w:tc>
          <w:tcPr>
            <w:tcW w:w="77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D" w:rsidRPr="005066BF" w:rsidRDefault="000B0ABD" w:rsidP="00B3362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Social Work</w:t>
            </w:r>
          </w:p>
        </w:tc>
      </w:tr>
      <w:tr w:rsidR="000B0ABD" w:rsidRPr="00F1693E" w:rsidTr="000B0ABD">
        <w:trPr>
          <w:trHeight w:val="503"/>
        </w:trPr>
        <w:tc>
          <w:tcPr>
            <w:tcW w:w="1710" w:type="dxa"/>
            <w:tcBorders>
              <w:top w:val="nil"/>
              <w:left w:val="single" w:sz="4" w:space="0" w:color="000000"/>
              <w:bottom w:val="single" w:sz="4" w:space="0" w:color="000000"/>
              <w:right w:val="single" w:sz="4" w:space="0" w:color="000000"/>
            </w:tcBorders>
            <w:vAlign w:val="center"/>
            <w:hideMark/>
          </w:tcPr>
          <w:p w:rsidR="000B0ABD" w:rsidRDefault="00E52183" w:rsidP="00B33623">
            <w:pPr>
              <w:rPr>
                <w:sz w:val="24"/>
                <w:szCs w:val="24"/>
              </w:rPr>
            </w:pPr>
            <w:hyperlink r:id="rId6" w:tgtFrame="_blank" w:history="1">
              <w:r w:rsidR="000B0ABD">
                <w:rPr>
                  <w:rStyle w:val="Hyperlink"/>
                </w:rPr>
                <w:t>SW 419 UG</w:t>
              </w:r>
            </w:hyperlink>
            <w:r w:rsidR="000B0ABD">
              <w:t xml:space="preserve"> </w:t>
            </w:r>
          </w:p>
        </w:tc>
        <w:tc>
          <w:tcPr>
            <w:tcW w:w="2700" w:type="dxa"/>
            <w:tcBorders>
              <w:top w:val="nil"/>
              <w:left w:val="nil"/>
              <w:bottom w:val="single" w:sz="4" w:space="0" w:color="000000"/>
              <w:right w:val="single" w:sz="4" w:space="0" w:color="000000"/>
            </w:tcBorders>
            <w:vAlign w:val="center"/>
            <w:hideMark/>
          </w:tcPr>
          <w:p w:rsidR="000B0ABD" w:rsidRDefault="000B0ABD" w:rsidP="00B33623">
            <w:pPr>
              <w:rPr>
                <w:sz w:val="24"/>
                <w:szCs w:val="24"/>
              </w:rPr>
            </w:pPr>
            <w:r>
              <w:t>Adverse Childhood Development</w:t>
            </w:r>
          </w:p>
        </w:tc>
        <w:tc>
          <w:tcPr>
            <w:tcW w:w="3335" w:type="dxa"/>
            <w:tcBorders>
              <w:top w:val="nil"/>
              <w:left w:val="nil"/>
              <w:bottom w:val="single" w:sz="4" w:space="0" w:color="000000"/>
              <w:right w:val="single" w:sz="4" w:space="0" w:color="000000"/>
            </w:tcBorders>
            <w:vAlign w:val="center"/>
            <w:hideMark/>
          </w:tcPr>
          <w:p w:rsidR="000B0ABD" w:rsidRDefault="000B0ABD" w:rsidP="00B33623">
            <w:pPr>
              <w:rPr>
                <w:sz w:val="24"/>
                <w:szCs w:val="24"/>
              </w:rPr>
            </w:pPr>
            <w:r>
              <w:t xml:space="preserve">New course </w:t>
            </w:r>
          </w:p>
        </w:tc>
      </w:tr>
      <w:tr w:rsidR="000B0ABD" w:rsidRPr="00F1693E" w:rsidTr="000B0ABD">
        <w:trPr>
          <w:trHeight w:val="215"/>
        </w:trPr>
        <w:tc>
          <w:tcPr>
            <w:tcW w:w="1710" w:type="dxa"/>
            <w:tcBorders>
              <w:top w:val="nil"/>
              <w:left w:val="single" w:sz="4" w:space="0" w:color="000000"/>
              <w:bottom w:val="single" w:sz="4" w:space="0" w:color="000000"/>
              <w:right w:val="single" w:sz="4" w:space="0" w:color="000000"/>
            </w:tcBorders>
            <w:vAlign w:val="center"/>
            <w:hideMark/>
          </w:tcPr>
          <w:p w:rsidR="000B0ABD" w:rsidRDefault="00E52183" w:rsidP="00B33623">
            <w:pPr>
              <w:rPr>
                <w:sz w:val="24"/>
                <w:szCs w:val="24"/>
              </w:rPr>
            </w:pPr>
            <w:hyperlink r:id="rId7" w:tgtFrame="_blank" w:history="1">
              <w:r w:rsidR="000B0ABD">
                <w:rPr>
                  <w:rStyle w:val="Hyperlink"/>
                </w:rPr>
                <w:t>SW 421 UG</w:t>
              </w:r>
            </w:hyperlink>
            <w:r w:rsidR="000B0ABD">
              <w:t xml:space="preserve"> </w:t>
            </w:r>
          </w:p>
        </w:tc>
        <w:tc>
          <w:tcPr>
            <w:tcW w:w="2700" w:type="dxa"/>
            <w:tcBorders>
              <w:top w:val="nil"/>
              <w:left w:val="nil"/>
              <w:bottom w:val="single" w:sz="4" w:space="0" w:color="000000"/>
              <w:right w:val="single" w:sz="4" w:space="0" w:color="000000"/>
            </w:tcBorders>
            <w:vAlign w:val="center"/>
            <w:hideMark/>
          </w:tcPr>
          <w:p w:rsidR="000B0ABD" w:rsidRDefault="000B0ABD" w:rsidP="00B33623">
            <w:pPr>
              <w:rPr>
                <w:sz w:val="24"/>
                <w:szCs w:val="24"/>
              </w:rPr>
            </w:pPr>
            <w:r>
              <w:t>High-risk Families</w:t>
            </w:r>
          </w:p>
        </w:tc>
        <w:tc>
          <w:tcPr>
            <w:tcW w:w="3335" w:type="dxa"/>
            <w:tcBorders>
              <w:top w:val="nil"/>
              <w:left w:val="nil"/>
              <w:bottom w:val="single" w:sz="4" w:space="0" w:color="000000"/>
              <w:right w:val="single" w:sz="4" w:space="0" w:color="000000"/>
            </w:tcBorders>
            <w:vAlign w:val="center"/>
            <w:hideMark/>
          </w:tcPr>
          <w:p w:rsidR="000B0ABD" w:rsidRDefault="000B0ABD" w:rsidP="00B33623">
            <w:pPr>
              <w:rPr>
                <w:sz w:val="24"/>
                <w:szCs w:val="24"/>
              </w:rPr>
            </w:pPr>
            <w:r>
              <w:t xml:space="preserve">New course </w:t>
            </w:r>
          </w:p>
        </w:tc>
      </w:tr>
      <w:tr w:rsidR="000B0ABD" w:rsidRPr="00F1693E" w:rsidTr="000B0ABD">
        <w:trPr>
          <w:trHeight w:val="233"/>
        </w:trPr>
        <w:tc>
          <w:tcPr>
            <w:tcW w:w="1710" w:type="dxa"/>
            <w:tcBorders>
              <w:top w:val="nil"/>
              <w:left w:val="single" w:sz="4" w:space="0" w:color="000000"/>
              <w:bottom w:val="single" w:sz="4" w:space="0" w:color="auto"/>
              <w:right w:val="single" w:sz="4" w:space="0" w:color="000000"/>
            </w:tcBorders>
            <w:vAlign w:val="center"/>
            <w:hideMark/>
          </w:tcPr>
          <w:p w:rsidR="000B0ABD" w:rsidRDefault="00E52183" w:rsidP="00B33623">
            <w:pPr>
              <w:rPr>
                <w:sz w:val="24"/>
                <w:szCs w:val="24"/>
              </w:rPr>
            </w:pPr>
            <w:hyperlink r:id="rId8" w:tgtFrame="_blank" w:history="1">
              <w:r w:rsidR="000B0ABD">
                <w:rPr>
                  <w:rStyle w:val="Hyperlink"/>
                </w:rPr>
                <w:t>SW 422 UG</w:t>
              </w:r>
            </w:hyperlink>
            <w:r w:rsidR="000B0ABD">
              <w:t xml:space="preserve"> </w:t>
            </w:r>
          </w:p>
        </w:tc>
        <w:tc>
          <w:tcPr>
            <w:tcW w:w="2700" w:type="dxa"/>
            <w:tcBorders>
              <w:top w:val="nil"/>
              <w:left w:val="nil"/>
              <w:bottom w:val="single" w:sz="4" w:space="0" w:color="auto"/>
              <w:right w:val="single" w:sz="4" w:space="0" w:color="000000"/>
            </w:tcBorders>
            <w:vAlign w:val="center"/>
            <w:hideMark/>
          </w:tcPr>
          <w:p w:rsidR="000B0ABD" w:rsidRDefault="000B0ABD" w:rsidP="00B33623">
            <w:pPr>
              <w:rPr>
                <w:sz w:val="24"/>
                <w:szCs w:val="24"/>
              </w:rPr>
            </w:pPr>
            <w:r>
              <w:t>CW Skills Lab</w:t>
            </w:r>
          </w:p>
        </w:tc>
        <w:tc>
          <w:tcPr>
            <w:tcW w:w="3335" w:type="dxa"/>
            <w:tcBorders>
              <w:top w:val="nil"/>
              <w:left w:val="nil"/>
              <w:bottom w:val="single" w:sz="4" w:space="0" w:color="auto"/>
              <w:right w:val="single" w:sz="4" w:space="0" w:color="000000"/>
            </w:tcBorders>
            <w:vAlign w:val="center"/>
            <w:hideMark/>
          </w:tcPr>
          <w:p w:rsidR="000B0ABD" w:rsidRDefault="000B0ABD" w:rsidP="00B33623">
            <w:pPr>
              <w:rPr>
                <w:sz w:val="24"/>
                <w:szCs w:val="24"/>
              </w:rPr>
            </w:pPr>
            <w:r>
              <w:t xml:space="preserve">New course </w:t>
            </w:r>
          </w:p>
        </w:tc>
      </w:tr>
      <w:tr w:rsidR="000B0ABD" w:rsidRPr="00F1693E" w:rsidTr="000B0ABD">
        <w:trPr>
          <w:trHeight w:val="242"/>
        </w:trPr>
        <w:tc>
          <w:tcPr>
            <w:tcW w:w="1710" w:type="dxa"/>
            <w:tcBorders>
              <w:top w:val="single" w:sz="4" w:space="0" w:color="auto"/>
              <w:left w:val="single" w:sz="4" w:space="0" w:color="auto"/>
              <w:bottom w:val="single" w:sz="4" w:space="0" w:color="auto"/>
              <w:right w:val="single" w:sz="4" w:space="0" w:color="auto"/>
            </w:tcBorders>
            <w:vAlign w:val="center"/>
          </w:tcPr>
          <w:p w:rsidR="000B0ABD" w:rsidRDefault="00E52183" w:rsidP="00B33623">
            <w:pPr>
              <w:rPr>
                <w:sz w:val="24"/>
                <w:szCs w:val="24"/>
              </w:rPr>
            </w:pPr>
            <w:hyperlink r:id="rId9" w:tgtFrame="_blank" w:history="1">
              <w:r w:rsidR="000B0ABD">
                <w:rPr>
                  <w:rStyle w:val="Hyperlink"/>
                </w:rPr>
                <w:t>SW 452 UG</w:t>
              </w:r>
            </w:hyperlink>
            <w:r w:rsidR="000B0ABD">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0B0ABD" w:rsidRDefault="000B0ABD" w:rsidP="00B33623">
            <w:pPr>
              <w:rPr>
                <w:sz w:val="24"/>
                <w:szCs w:val="24"/>
              </w:rPr>
            </w:pPr>
            <w:r>
              <w:t>Systems of Care</w:t>
            </w:r>
          </w:p>
        </w:tc>
        <w:tc>
          <w:tcPr>
            <w:tcW w:w="3335" w:type="dxa"/>
            <w:tcBorders>
              <w:top w:val="single" w:sz="4" w:space="0" w:color="auto"/>
              <w:left w:val="single" w:sz="4" w:space="0" w:color="auto"/>
              <w:bottom w:val="single" w:sz="4" w:space="0" w:color="auto"/>
              <w:right w:val="single" w:sz="4" w:space="0" w:color="auto"/>
            </w:tcBorders>
            <w:vAlign w:val="center"/>
          </w:tcPr>
          <w:p w:rsidR="000B0ABD" w:rsidRDefault="000B0ABD" w:rsidP="00B33623">
            <w:pPr>
              <w:rPr>
                <w:sz w:val="24"/>
                <w:szCs w:val="24"/>
              </w:rPr>
            </w:pPr>
            <w:r>
              <w:t xml:space="preserve">New course </w:t>
            </w:r>
          </w:p>
        </w:tc>
      </w:tr>
      <w:tr w:rsidR="000B0ABD" w:rsidRPr="00F1693E" w:rsidTr="000B0ABD">
        <w:trPr>
          <w:trHeight w:val="188"/>
        </w:trPr>
        <w:tc>
          <w:tcPr>
            <w:tcW w:w="1710" w:type="dxa"/>
            <w:tcBorders>
              <w:top w:val="single" w:sz="4" w:space="0" w:color="auto"/>
              <w:left w:val="single" w:sz="4" w:space="0" w:color="auto"/>
              <w:bottom w:val="single" w:sz="4" w:space="0" w:color="auto"/>
              <w:right w:val="single" w:sz="4" w:space="0" w:color="auto"/>
            </w:tcBorders>
            <w:vAlign w:val="center"/>
          </w:tcPr>
          <w:p w:rsidR="000B0ABD" w:rsidRDefault="00E52183" w:rsidP="00B33623">
            <w:pPr>
              <w:rPr>
                <w:sz w:val="24"/>
                <w:szCs w:val="24"/>
              </w:rPr>
            </w:pPr>
            <w:hyperlink r:id="rId10" w:tgtFrame="_blank" w:history="1">
              <w:r w:rsidR="000B0ABD">
                <w:rPr>
                  <w:rStyle w:val="Hyperlink"/>
                </w:rPr>
                <w:t>SW 463 UG</w:t>
              </w:r>
            </w:hyperlink>
            <w:r w:rsidR="000B0ABD">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0B0ABD" w:rsidRDefault="000B0ABD" w:rsidP="00B33623">
            <w:pPr>
              <w:rPr>
                <w:sz w:val="24"/>
                <w:szCs w:val="24"/>
              </w:rPr>
            </w:pPr>
            <w:proofErr w:type="spellStart"/>
            <w:r>
              <w:t>Soc</w:t>
            </w:r>
            <w:proofErr w:type="spellEnd"/>
            <w:r>
              <w:t xml:space="preserve"> </w:t>
            </w:r>
            <w:proofErr w:type="spellStart"/>
            <w:r>
              <w:t>Jstc</w:t>
            </w:r>
            <w:proofErr w:type="spellEnd"/>
            <w:r>
              <w:t xml:space="preserve"> Indian </w:t>
            </w:r>
            <w:proofErr w:type="spellStart"/>
            <w:r>
              <w:t>Cntry</w:t>
            </w:r>
            <w:proofErr w:type="spellEnd"/>
          </w:p>
        </w:tc>
        <w:tc>
          <w:tcPr>
            <w:tcW w:w="3335" w:type="dxa"/>
            <w:tcBorders>
              <w:top w:val="single" w:sz="4" w:space="0" w:color="auto"/>
              <w:left w:val="single" w:sz="4" w:space="0" w:color="auto"/>
              <w:bottom w:val="single" w:sz="4" w:space="0" w:color="auto"/>
              <w:right w:val="single" w:sz="4" w:space="0" w:color="auto"/>
            </w:tcBorders>
            <w:vAlign w:val="center"/>
          </w:tcPr>
          <w:p w:rsidR="000B0ABD" w:rsidRDefault="000B0ABD" w:rsidP="00B33623">
            <w:pPr>
              <w:rPr>
                <w:sz w:val="24"/>
                <w:szCs w:val="24"/>
              </w:rPr>
            </w:pPr>
            <w:r>
              <w:t xml:space="preserve">New course </w:t>
            </w:r>
          </w:p>
        </w:tc>
      </w:tr>
      <w:tr w:rsidR="000B0ABD" w:rsidRPr="00F1693E" w:rsidTr="000B0ABD">
        <w:trPr>
          <w:trHeight w:val="98"/>
        </w:trPr>
        <w:tc>
          <w:tcPr>
            <w:tcW w:w="1710" w:type="dxa"/>
            <w:tcBorders>
              <w:top w:val="single" w:sz="4" w:space="0" w:color="auto"/>
              <w:left w:val="single" w:sz="4" w:space="0" w:color="auto"/>
              <w:bottom w:val="single" w:sz="4" w:space="0" w:color="auto"/>
              <w:right w:val="single" w:sz="4" w:space="0" w:color="auto"/>
            </w:tcBorders>
            <w:vAlign w:val="center"/>
          </w:tcPr>
          <w:p w:rsidR="000B0ABD" w:rsidRDefault="000B0ABD" w:rsidP="00B33623">
            <w:r>
              <w:t>Academic Request</w:t>
            </w:r>
          </w:p>
        </w:tc>
        <w:tc>
          <w:tcPr>
            <w:tcW w:w="2700" w:type="dxa"/>
            <w:tcBorders>
              <w:top w:val="single" w:sz="4" w:space="0" w:color="auto"/>
              <w:left w:val="single" w:sz="4" w:space="0" w:color="auto"/>
              <w:bottom w:val="single" w:sz="4" w:space="0" w:color="auto"/>
              <w:right w:val="single" w:sz="4" w:space="0" w:color="auto"/>
            </w:tcBorders>
            <w:vAlign w:val="center"/>
          </w:tcPr>
          <w:p w:rsidR="000B0ABD" w:rsidRDefault="000B0ABD" w:rsidP="00B33623"/>
        </w:tc>
        <w:tc>
          <w:tcPr>
            <w:tcW w:w="3335" w:type="dxa"/>
            <w:tcBorders>
              <w:top w:val="single" w:sz="4" w:space="0" w:color="auto"/>
              <w:left w:val="single" w:sz="4" w:space="0" w:color="auto"/>
              <w:bottom w:val="single" w:sz="4" w:space="0" w:color="auto"/>
              <w:right w:val="single" w:sz="4" w:space="0" w:color="auto"/>
            </w:tcBorders>
            <w:vAlign w:val="center"/>
          </w:tcPr>
          <w:p w:rsidR="000B0ABD" w:rsidRDefault="000B0ABD" w:rsidP="00B33623">
            <w:r>
              <w:t>Child Welfare Certificate</w:t>
            </w:r>
          </w:p>
        </w:tc>
      </w:tr>
    </w:tbl>
    <w:p w:rsidR="000B0ABD" w:rsidRDefault="000B0ABD" w:rsidP="000B0ABD"/>
    <w:tbl>
      <w:tblPr>
        <w:tblW w:w="7745" w:type="dxa"/>
        <w:tblInd w:w="1458" w:type="dxa"/>
        <w:tblLook w:val="04A0" w:firstRow="1" w:lastRow="0" w:firstColumn="1" w:lastColumn="0" w:noHBand="0" w:noVBand="1"/>
      </w:tblPr>
      <w:tblGrid>
        <w:gridCol w:w="1710"/>
        <w:gridCol w:w="2700"/>
        <w:gridCol w:w="3335"/>
      </w:tblGrid>
      <w:tr w:rsidR="000B0ABD" w:rsidRPr="00F1693E" w:rsidTr="000B0ABD">
        <w:trPr>
          <w:trHeight w:val="300"/>
        </w:trPr>
        <w:tc>
          <w:tcPr>
            <w:tcW w:w="77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0ABD" w:rsidRPr="00F1693E" w:rsidRDefault="000B0ABD" w:rsidP="00B33623">
            <w:pPr>
              <w:spacing w:after="0" w:line="240" w:lineRule="auto"/>
              <w:jc w:val="center"/>
              <w:rPr>
                <w:rFonts w:ascii="Calibri" w:eastAsia="Times New Roman" w:hAnsi="Calibri" w:cs="Times New Roman"/>
                <w:b/>
                <w:bCs/>
                <w:color w:val="D9D9D9" w:themeColor="background1" w:themeShade="D9"/>
              </w:rPr>
            </w:pPr>
            <w:r>
              <w:rPr>
                <w:rFonts w:ascii="Calibri" w:eastAsia="Times New Roman" w:hAnsi="Calibri" w:cs="Times New Roman"/>
                <w:b/>
                <w:bCs/>
              </w:rPr>
              <w:t>Anthropology</w:t>
            </w:r>
          </w:p>
        </w:tc>
      </w:tr>
      <w:tr w:rsidR="000B0ABD" w:rsidRPr="005066BF" w:rsidTr="000B0ABD">
        <w:trPr>
          <w:trHeight w:val="300"/>
        </w:trPr>
        <w:tc>
          <w:tcPr>
            <w:tcW w:w="1710" w:type="dxa"/>
            <w:tcBorders>
              <w:top w:val="nil"/>
              <w:left w:val="single" w:sz="4" w:space="0" w:color="000000"/>
              <w:bottom w:val="single" w:sz="4" w:space="0" w:color="auto"/>
              <w:right w:val="single" w:sz="4" w:space="0" w:color="000000"/>
            </w:tcBorders>
            <w:shd w:val="clear" w:color="auto" w:fill="auto"/>
            <w:vAlign w:val="center"/>
            <w:hideMark/>
          </w:tcPr>
          <w:p w:rsidR="000B0ABD" w:rsidRPr="00A65488" w:rsidRDefault="00E52183" w:rsidP="00B33623">
            <w:pPr>
              <w:spacing w:after="0" w:line="240" w:lineRule="auto"/>
              <w:rPr>
                <w:rFonts w:ascii="Calibri" w:eastAsia="Times New Roman" w:hAnsi="Calibri" w:cs="Times New Roman"/>
                <w:color w:val="0000FF"/>
                <w:u w:val="single"/>
              </w:rPr>
            </w:pPr>
            <w:hyperlink r:id="rId11" w:history="1">
              <w:r w:rsidR="000B0ABD" w:rsidRPr="00A65488">
                <w:rPr>
                  <w:rFonts w:ascii="Calibri" w:eastAsia="Times New Roman" w:hAnsi="Calibri" w:cs="Times New Roman"/>
                  <w:color w:val="0000FF"/>
                  <w:u w:val="single"/>
                </w:rPr>
                <w:t>ANTY 326E U</w:t>
              </w:r>
            </w:hyperlink>
          </w:p>
        </w:tc>
        <w:tc>
          <w:tcPr>
            <w:tcW w:w="2700" w:type="dxa"/>
            <w:tcBorders>
              <w:top w:val="nil"/>
              <w:left w:val="nil"/>
              <w:bottom w:val="single" w:sz="4" w:space="0" w:color="auto"/>
              <w:right w:val="single" w:sz="4" w:space="0" w:color="000000"/>
            </w:tcBorders>
            <w:shd w:val="clear" w:color="auto" w:fill="auto"/>
            <w:vAlign w:val="center"/>
            <w:hideMark/>
          </w:tcPr>
          <w:p w:rsidR="000B0ABD" w:rsidRPr="00A65488" w:rsidRDefault="000B0ABD" w:rsidP="00B33623">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Indigenous People Ethics &amp; Dev</w:t>
            </w:r>
          </w:p>
        </w:tc>
        <w:tc>
          <w:tcPr>
            <w:tcW w:w="3335" w:type="dxa"/>
            <w:tcBorders>
              <w:top w:val="nil"/>
              <w:left w:val="nil"/>
              <w:bottom w:val="single" w:sz="4" w:space="0" w:color="auto"/>
              <w:right w:val="single" w:sz="4" w:space="0" w:color="000000"/>
            </w:tcBorders>
            <w:shd w:val="clear" w:color="auto" w:fill="auto"/>
            <w:vAlign w:val="center"/>
            <w:hideMark/>
          </w:tcPr>
          <w:p w:rsidR="000B0ABD" w:rsidRPr="00A65488" w:rsidRDefault="000B0ABD" w:rsidP="00B33623">
            <w:pPr>
              <w:spacing w:after="0" w:line="240" w:lineRule="auto"/>
              <w:rPr>
                <w:rFonts w:ascii="Calibri" w:eastAsia="Times New Roman" w:hAnsi="Calibri" w:cs="Times New Roman"/>
                <w:color w:val="000000"/>
              </w:rPr>
            </w:pPr>
            <w:r w:rsidRPr="00A65488">
              <w:rPr>
                <w:rFonts w:ascii="Calibri" w:eastAsia="Times New Roman" w:hAnsi="Calibri" w:cs="Times New Roman"/>
                <w:color w:val="000000"/>
              </w:rPr>
              <w:t>Change title</w:t>
            </w:r>
          </w:p>
        </w:tc>
      </w:tr>
    </w:tbl>
    <w:p w:rsidR="000B0ABD" w:rsidRDefault="000B0ABD" w:rsidP="000B0ABD">
      <w:pPr>
        <w:pStyle w:val="ListParagraph"/>
        <w:ind w:left="360"/>
      </w:pPr>
    </w:p>
    <w:p w:rsidR="00FC41DE" w:rsidRDefault="000B0ABD" w:rsidP="000B0ABD">
      <w:pPr>
        <w:pStyle w:val="ListParagraph"/>
        <w:ind w:left="360"/>
      </w:pPr>
      <w:r>
        <w:t>There are still a few pending items in Humanities and one course in EVST that require follow-up consideration to be moved to the Faculty Senate consent agenda.</w:t>
      </w:r>
      <w:r w:rsidR="00FC41DE">
        <w:br/>
      </w:r>
    </w:p>
    <w:p w:rsidR="00FC41DE" w:rsidRDefault="000B0ABD" w:rsidP="000B0ABD">
      <w:pPr>
        <w:pStyle w:val="ListParagraph"/>
        <w:numPr>
          <w:ilvl w:val="0"/>
          <w:numId w:val="32"/>
        </w:numPr>
      </w:pPr>
      <w:r>
        <w:t xml:space="preserve">Registrar Hickman alerted ASCRC that UM’s Honors Policy must be updated to be in compliance with the Board of Regents definition of cumulative GPA.  Currently Transferred course work is included in grade point average calculations.  MSU’s Honors Policy was on the agenda as a reference.  Professor Coffin volunteered to revise UM’s language. </w:t>
      </w:r>
    </w:p>
    <w:p w:rsidR="000B0ABD" w:rsidRDefault="000B0ABD" w:rsidP="000B0ABD">
      <w:pPr>
        <w:pStyle w:val="ListParagraph"/>
        <w:numPr>
          <w:ilvl w:val="0"/>
          <w:numId w:val="32"/>
        </w:numPr>
      </w:pPr>
      <w:r>
        <w:lastRenderedPageBreak/>
        <w:t xml:space="preserve">The following revision to the general education Historical and Cultural Group was approved.  It was sent to effected programs and there were no concerns even from the History department.  </w:t>
      </w:r>
    </w:p>
    <w:p w:rsidR="00BE64F2" w:rsidRDefault="007D13B0">
      <w:r>
        <w:t xml:space="preserve">The meeting was adjourned at </w:t>
      </w:r>
      <w:r w:rsidR="004B380A">
        <w:t>3:</w:t>
      </w:r>
      <w:r w:rsidR="000B0ABD">
        <w:t>30</w:t>
      </w:r>
      <w:r>
        <w:t xml:space="preserve"> p.m.</w:t>
      </w:r>
    </w:p>
    <w:tbl>
      <w:tblPr>
        <w:tblW w:w="9439" w:type="dxa"/>
        <w:tblCellSpacing w:w="0" w:type="dxa"/>
        <w:tblCellMar>
          <w:left w:w="0" w:type="dxa"/>
          <w:right w:w="0" w:type="dxa"/>
        </w:tblCellMar>
        <w:tblLook w:val="04A0" w:firstRow="1" w:lastRow="0" w:firstColumn="1" w:lastColumn="0" w:noHBand="0" w:noVBand="1"/>
      </w:tblPr>
      <w:tblGrid>
        <w:gridCol w:w="9439"/>
      </w:tblGrid>
      <w:tr w:rsidR="000B0ABD" w:rsidRPr="00F61EFB" w:rsidTr="00B33623">
        <w:trPr>
          <w:trHeight w:val="3024"/>
          <w:tblCellSpacing w:w="0" w:type="dxa"/>
        </w:trPr>
        <w:tc>
          <w:tcPr>
            <w:tcW w:w="9439" w:type="dxa"/>
            <w:hideMark/>
          </w:tcPr>
          <w:p w:rsidR="000B0ABD" w:rsidRPr="00C33531" w:rsidRDefault="000B0ABD" w:rsidP="00AA55D8">
            <w:pPr>
              <w:pStyle w:val="Heading2"/>
            </w:pPr>
            <w:r>
              <w:t>Proposed Revision to General Education Group VI, Historical &amp; Cultural Studies (H)</w:t>
            </w:r>
          </w:p>
          <w:p w:rsidR="000B0ABD" w:rsidRPr="00E0318F" w:rsidRDefault="000B0ABD" w:rsidP="00B33623">
            <w:pPr>
              <w:spacing w:before="100" w:beforeAutospacing="1" w:after="100" w:afterAutospacing="1" w:line="240" w:lineRule="auto"/>
              <w:rPr>
                <w:rFonts w:eastAsia="Times New Roman" w:cs="Arial"/>
                <w:color w:val="313131"/>
              </w:rPr>
            </w:pPr>
            <w:r w:rsidRPr="00F61EFB">
              <w:rPr>
                <w:rFonts w:eastAsia="Times New Roman" w:cs="Arial"/>
                <w:b/>
                <w:bCs/>
                <w:color w:val="313131"/>
              </w:rPr>
              <w:t> </w:t>
            </w:r>
            <w:r>
              <w:rPr>
                <w:rFonts w:eastAsia="Times New Roman" w:cs="Arial"/>
                <w:b/>
                <w:bCs/>
                <w:color w:val="313131"/>
              </w:rPr>
              <w:br/>
            </w:r>
            <w:r w:rsidRPr="00E0318F">
              <w:rPr>
                <w:rFonts w:eastAsia="Times New Roman" w:cs="Arial"/>
                <w:bCs/>
                <w:color w:val="313131"/>
                <w:u w:val="single"/>
              </w:rPr>
              <w:t>Group VI: Historical Studies (H)</w:t>
            </w:r>
            <w:proofErr w:type="gramStart"/>
            <w:r w:rsidRPr="00E0318F">
              <w:rPr>
                <w:rFonts w:eastAsia="Times New Roman" w:cs="Arial"/>
                <w:bCs/>
                <w:color w:val="313131"/>
                <w:u w:val="single"/>
              </w:rPr>
              <w:t>:</w:t>
            </w:r>
            <w:proofErr w:type="gramEnd"/>
            <w:r w:rsidRPr="00E0318F">
              <w:rPr>
                <w:rFonts w:eastAsia="Times New Roman" w:cs="Arial"/>
                <w:bCs/>
                <w:color w:val="313131"/>
              </w:rPr>
              <w:br/>
            </w:r>
            <w:r w:rsidRPr="004A4572">
              <w:rPr>
                <w:rFonts w:eastAsia="Times New Roman" w:cs="Arial"/>
                <w:color w:val="313131"/>
              </w:rPr>
              <w:t xml:space="preserve">The primary purpose of courses in this perspective is to explore the historical contexts and narratives of human behavior, ideas, institutions, and societies through an analysis of their patterns of development or differentiation in the past. These </w:t>
            </w:r>
            <w:r w:rsidRPr="004A4572">
              <w:t>courses are wide-ranging in chronological, geographical, or topical focus.  They introduce students to methods of inquiry that enable them to understand and evaluate the causes and significance of events, texts, or artifacts.</w:t>
            </w:r>
          </w:p>
        </w:tc>
      </w:tr>
    </w:tbl>
    <w:p w:rsidR="000B0ABD" w:rsidRPr="00E0318F" w:rsidRDefault="000B0ABD" w:rsidP="000B0ABD">
      <w:pPr>
        <w:spacing w:before="100" w:beforeAutospacing="1" w:after="100" w:afterAutospacing="1" w:line="240" w:lineRule="auto"/>
        <w:rPr>
          <w:rFonts w:eastAsia="Times New Roman" w:cs="Arial"/>
          <w:color w:val="313131"/>
        </w:rPr>
      </w:pPr>
      <w:r w:rsidRPr="00E0318F">
        <w:rPr>
          <w:rFonts w:eastAsia="Times New Roman" w:cs="Arial"/>
          <w:color w:val="313131"/>
          <w:u w:val="single"/>
        </w:rPr>
        <w:t>Learning Goals</w:t>
      </w:r>
      <w:proofErr w:type="gramStart"/>
      <w:r w:rsidRPr="00E0318F">
        <w:rPr>
          <w:rFonts w:eastAsia="Times New Roman" w:cs="Arial"/>
          <w:color w:val="313131"/>
          <w:u w:val="single"/>
        </w:rPr>
        <w:t>:</w:t>
      </w:r>
      <w:proofErr w:type="gramEnd"/>
      <w:r w:rsidRPr="00E0318F">
        <w:rPr>
          <w:rFonts w:eastAsia="Times New Roman" w:cs="Arial"/>
          <w:color w:val="313131"/>
          <w:u w:val="single"/>
        </w:rPr>
        <w:br/>
      </w:r>
      <w:r w:rsidRPr="00E0318F">
        <w:rPr>
          <w:rFonts w:eastAsia="Times New Roman" w:cs="Arial"/>
          <w:color w:val="313131"/>
        </w:rPr>
        <w:t>Upon completion of a course in this group, a student will be able to:</w:t>
      </w:r>
    </w:p>
    <w:p w:rsidR="000B0ABD" w:rsidRPr="00E0318F" w:rsidRDefault="000B0ABD" w:rsidP="000B0ABD">
      <w:pPr>
        <w:spacing w:before="100" w:beforeAutospacing="1" w:after="100" w:afterAutospacing="1" w:line="240" w:lineRule="auto"/>
        <w:rPr>
          <w:rFonts w:eastAsia="Times New Roman" w:cs="Arial"/>
          <w:color w:val="313131"/>
        </w:rPr>
      </w:pPr>
      <w:r>
        <w:rPr>
          <w:rFonts w:eastAsia="Times New Roman" w:cs="Arial"/>
          <w:color w:val="313131"/>
        </w:rPr>
        <w:t>1.</w:t>
      </w:r>
      <w:r w:rsidRPr="00E0318F">
        <w:rPr>
          <w:rFonts w:eastAsia="Times New Roman" w:cs="Arial"/>
          <w:color w:val="313131"/>
        </w:rPr>
        <w:t xml:space="preserve"> </w:t>
      </w:r>
      <w:r>
        <w:rPr>
          <w:rFonts w:eastAsia="Times New Roman" w:cs="Arial"/>
          <w:color w:val="313131"/>
        </w:rPr>
        <w:t>Critically analyze and e</w:t>
      </w:r>
      <w:r w:rsidRPr="00E0318F">
        <w:rPr>
          <w:rFonts w:eastAsia="Times New Roman" w:cs="Arial"/>
          <w:color w:val="313131"/>
        </w:rPr>
        <w:t>valuate</w:t>
      </w:r>
      <w:r w:rsidRPr="004A4572">
        <w:rPr>
          <w:rFonts w:eastAsia="Times New Roman" w:cs="Arial"/>
          <w:color w:val="313131"/>
        </w:rPr>
        <w:t xml:space="preserve"> primary </w:t>
      </w:r>
      <w:r w:rsidRPr="00E0318F">
        <w:rPr>
          <w:rFonts w:eastAsia="Times New Roman" w:cs="Arial"/>
          <w:color w:val="313131"/>
        </w:rPr>
        <w:t>sources – such as texts, pictorial evidence, oral histories, music, and artifacts</w:t>
      </w:r>
      <w:r>
        <w:rPr>
          <w:rFonts w:eastAsia="Times New Roman" w:cs="Arial"/>
          <w:color w:val="313131"/>
        </w:rPr>
        <w:t xml:space="preserve">- </w:t>
      </w:r>
      <w:r w:rsidRPr="00E0318F">
        <w:rPr>
          <w:rFonts w:eastAsia="Times New Roman" w:cs="Arial"/>
          <w:color w:val="313131"/>
        </w:rPr>
        <w:t>within their respective historical contexts</w:t>
      </w:r>
      <w:r>
        <w:rPr>
          <w:rFonts w:eastAsia="Times New Roman" w:cs="Arial"/>
          <w:color w:val="313131"/>
        </w:rPr>
        <w:t>.</w:t>
      </w:r>
      <w:r w:rsidRPr="00E0318F">
        <w:rPr>
          <w:rFonts w:eastAsia="Times New Roman" w:cs="Arial"/>
          <w:color w:val="313131"/>
        </w:rPr>
        <w:t xml:space="preserve"> </w:t>
      </w:r>
    </w:p>
    <w:p w:rsidR="000B0ABD" w:rsidRPr="00E0318F" w:rsidRDefault="000B0ABD" w:rsidP="000B0ABD">
      <w:pPr>
        <w:spacing w:before="100" w:beforeAutospacing="1" w:after="100" w:afterAutospacing="1" w:line="240" w:lineRule="auto"/>
        <w:rPr>
          <w:rFonts w:eastAsia="Times New Roman" w:cs="Arial"/>
          <w:color w:val="313131"/>
        </w:rPr>
      </w:pPr>
      <w:r>
        <w:rPr>
          <w:rFonts w:eastAsia="Times New Roman" w:cs="Arial"/>
          <w:color w:val="313131"/>
        </w:rPr>
        <w:t>2</w:t>
      </w:r>
      <w:r w:rsidRPr="00E0318F">
        <w:rPr>
          <w:rFonts w:eastAsia="Times New Roman" w:cs="Arial"/>
          <w:color w:val="313131"/>
        </w:rPr>
        <w:t>. Synthesize ideas and information in order to</w:t>
      </w:r>
      <w:r>
        <w:rPr>
          <w:rFonts w:eastAsia="Times New Roman" w:cs="Arial"/>
          <w:color w:val="313131"/>
        </w:rPr>
        <w:t xml:space="preserve"> u</w:t>
      </w:r>
      <w:r w:rsidRPr="00E0318F">
        <w:rPr>
          <w:rFonts w:eastAsia="Times New Roman" w:cs="Arial"/>
          <w:color w:val="313131"/>
        </w:rPr>
        <w:t xml:space="preserve">nderstand the problems, causes, and consequences of historical developments and events; </w:t>
      </w:r>
    </w:p>
    <w:p w:rsidR="000B0ABD" w:rsidRDefault="000B0ABD" w:rsidP="000B0ABD">
      <w:pPr>
        <w:pStyle w:val="Heading2"/>
        <w:ind w:left="1440" w:hanging="360"/>
      </w:pPr>
    </w:p>
    <w:p w:rsidR="000B0ABD" w:rsidRDefault="000B0ABD" w:rsidP="00AA55D8">
      <w:pPr>
        <w:pStyle w:val="Heading3"/>
      </w:pPr>
      <w:r w:rsidRPr="00F12F25">
        <w:t>Current Language</w:t>
      </w:r>
      <w:r>
        <w:br/>
      </w:r>
    </w:p>
    <w:tbl>
      <w:tblPr>
        <w:tblW w:w="9375" w:type="dxa"/>
        <w:tblCellSpacing w:w="0" w:type="dxa"/>
        <w:tblCellMar>
          <w:left w:w="0" w:type="dxa"/>
          <w:right w:w="0" w:type="dxa"/>
        </w:tblCellMar>
        <w:tblLook w:val="04A0" w:firstRow="1" w:lastRow="0" w:firstColumn="1" w:lastColumn="0" w:noHBand="0" w:noVBand="1"/>
      </w:tblPr>
      <w:tblGrid>
        <w:gridCol w:w="4785"/>
        <w:gridCol w:w="4590"/>
      </w:tblGrid>
      <w:tr w:rsidR="000B0ABD" w:rsidRPr="00F61EFB" w:rsidTr="00B33623">
        <w:trPr>
          <w:tblCellSpacing w:w="0" w:type="dxa"/>
        </w:trPr>
        <w:tc>
          <w:tcPr>
            <w:tcW w:w="9375" w:type="dxa"/>
            <w:gridSpan w:val="2"/>
            <w:hideMark/>
          </w:tcPr>
          <w:p w:rsidR="000B0ABD" w:rsidRPr="00F61EFB" w:rsidRDefault="000B0ABD" w:rsidP="00B33623">
            <w:pPr>
              <w:spacing w:before="100" w:beforeAutospacing="1" w:after="100" w:afterAutospacing="1" w:line="240" w:lineRule="auto"/>
              <w:rPr>
                <w:rFonts w:eastAsia="Times New Roman" w:cs="Arial"/>
                <w:color w:val="313131"/>
              </w:rPr>
            </w:pPr>
            <w:r w:rsidRPr="00F61EFB">
              <w:rPr>
                <w:rFonts w:eastAsia="Times New Roman" w:cs="Arial"/>
                <w:b/>
                <w:bCs/>
                <w:color w:val="313131"/>
              </w:rPr>
              <w:t> </w:t>
            </w:r>
            <w:r>
              <w:rPr>
                <w:rFonts w:eastAsia="Times New Roman" w:cs="Arial"/>
                <w:b/>
                <w:bCs/>
                <w:color w:val="313131"/>
              </w:rPr>
              <w:br/>
            </w:r>
            <w:r w:rsidRPr="00AE7425">
              <w:rPr>
                <w:rFonts w:eastAsia="Times New Roman" w:cs="Arial"/>
                <w:b/>
                <w:bCs/>
                <w:color w:val="313131"/>
                <w:u w:val="single"/>
              </w:rPr>
              <w:t xml:space="preserve">Group VI: Historical </w:t>
            </w:r>
            <w:r w:rsidRPr="00F12F25">
              <w:rPr>
                <w:rFonts w:eastAsia="Times New Roman" w:cs="Arial"/>
                <w:b/>
                <w:bCs/>
                <w:color w:val="313131"/>
                <w:u w:val="single"/>
              </w:rPr>
              <w:t>and Cultural Studies (H)</w:t>
            </w:r>
            <w:proofErr w:type="gramStart"/>
            <w:r w:rsidRPr="00F12F25">
              <w:rPr>
                <w:rFonts w:eastAsia="Times New Roman" w:cs="Arial"/>
                <w:b/>
                <w:bCs/>
                <w:color w:val="313131"/>
                <w:u w:val="single"/>
              </w:rPr>
              <w:t>:</w:t>
            </w:r>
            <w:proofErr w:type="gramEnd"/>
            <w:r w:rsidRPr="00F12F25">
              <w:rPr>
                <w:rFonts w:eastAsia="Times New Roman" w:cs="Arial"/>
                <w:b/>
                <w:bCs/>
                <w:color w:val="313131"/>
              </w:rPr>
              <w:br/>
            </w:r>
            <w:r w:rsidRPr="00F12F25">
              <w:rPr>
                <w:rFonts w:eastAsia="Times New Roman" w:cs="Arial"/>
                <w:color w:val="313131"/>
              </w:rPr>
              <w:t>These courses present the historical or cultural contexts of ideas and institutions, and examine cultural development or differentiation in the human past. They are foundational in that they are wide-ranging in chronological, geographical, or topical focus, or in that they introduce students to methods of inquiry specific to a particular discipline.</w:t>
            </w:r>
            <w:r w:rsidRPr="00F61EFB">
              <w:rPr>
                <w:rFonts w:eastAsia="Times New Roman" w:cs="Arial"/>
                <w:b/>
                <w:bCs/>
                <w:color w:val="313131"/>
              </w:rPr>
              <w:t> </w:t>
            </w:r>
          </w:p>
        </w:tc>
      </w:tr>
      <w:tr w:rsidR="000B0ABD" w:rsidRPr="00F61EFB" w:rsidTr="00B33623">
        <w:trPr>
          <w:tblCellSpacing w:w="0" w:type="dxa"/>
        </w:trPr>
        <w:tc>
          <w:tcPr>
            <w:tcW w:w="4785" w:type="dxa"/>
            <w:hideMark/>
          </w:tcPr>
          <w:p w:rsidR="000B0ABD" w:rsidRPr="00F12F25" w:rsidRDefault="000B0ABD" w:rsidP="00B33623">
            <w:pPr>
              <w:spacing w:before="100" w:beforeAutospacing="1" w:after="100" w:afterAutospacing="1" w:line="240" w:lineRule="auto"/>
              <w:rPr>
                <w:rFonts w:eastAsia="Times New Roman" w:cs="Arial"/>
                <w:color w:val="313131"/>
              </w:rPr>
            </w:pPr>
            <w:r>
              <w:rPr>
                <w:rFonts w:eastAsia="Times New Roman" w:cs="Arial"/>
                <w:color w:val="313131"/>
                <w:u w:val="single"/>
              </w:rPr>
              <w:br/>
            </w:r>
            <w:r w:rsidRPr="00F61EFB">
              <w:rPr>
                <w:rFonts w:eastAsia="Times New Roman" w:cs="Arial"/>
                <w:color w:val="313131"/>
                <w:u w:val="single"/>
              </w:rPr>
              <w:t>Criteria</w:t>
            </w:r>
            <w:r>
              <w:rPr>
                <w:rFonts w:eastAsia="Times New Roman" w:cs="Arial"/>
                <w:color w:val="313131"/>
                <w:u w:val="single"/>
              </w:rPr>
              <w:t>:</w:t>
            </w:r>
            <w:r w:rsidRPr="00F61EFB">
              <w:rPr>
                <w:rFonts w:eastAsia="Times New Roman" w:cs="Arial"/>
                <w:color w:val="313131"/>
                <w:u w:val="single"/>
              </w:rPr>
              <w:br/>
            </w:r>
            <w:r w:rsidRPr="00F61EFB">
              <w:rPr>
                <w:rFonts w:eastAsia="Times New Roman" w:cs="Arial"/>
                <w:color w:val="313131"/>
              </w:rPr>
              <w:t xml:space="preserve">Courses teach students how to: present ideas and information with a view to understanding the </w:t>
            </w:r>
            <w:r>
              <w:rPr>
                <w:rFonts w:eastAsia="Times New Roman" w:cs="Arial"/>
                <w:color w:val="313131"/>
              </w:rPr>
              <w:t xml:space="preserve"> </w:t>
            </w:r>
            <w:r w:rsidRPr="006F077E">
              <w:rPr>
                <w:rFonts w:eastAsia="Times New Roman" w:cs="Arial"/>
                <w:color w:val="313131"/>
              </w:rPr>
              <w:t>causes, development, and consequences of historical events;</w:t>
            </w:r>
            <w:r w:rsidRPr="00F61EFB">
              <w:rPr>
                <w:rFonts w:eastAsia="Times New Roman" w:cs="Arial"/>
                <w:color w:val="313131"/>
              </w:rPr>
              <w:t>  evaluate </w:t>
            </w:r>
            <w:r w:rsidRPr="00F61EFB">
              <w:rPr>
                <w:rFonts w:eastAsia="Times New Roman" w:cs="Arial"/>
                <w:b/>
                <w:bCs/>
                <w:color w:val="313131"/>
              </w:rPr>
              <w:t> </w:t>
            </w:r>
            <w:r w:rsidRPr="00F61EFB">
              <w:rPr>
                <w:rFonts w:eastAsia="Times New Roman" w:cs="Arial"/>
                <w:color w:val="313131"/>
              </w:rPr>
              <w:t>texts or artifacts within their historical an</w:t>
            </w:r>
            <w:r w:rsidRPr="00F12F25">
              <w:rPr>
                <w:rFonts w:eastAsia="Times New Roman" w:cs="Arial"/>
                <w:color w:val="313131"/>
              </w:rPr>
              <w:t>d/or cultural contexts; and analyze human behavior, ideas, and institutions within their respective historical and/or cultural contexts.</w:t>
            </w:r>
          </w:p>
          <w:p w:rsidR="000B0ABD" w:rsidRDefault="000B0ABD" w:rsidP="00B33623">
            <w:pPr>
              <w:spacing w:before="100" w:beforeAutospacing="1" w:after="100" w:afterAutospacing="1" w:line="240" w:lineRule="auto"/>
              <w:rPr>
                <w:rFonts w:eastAsia="Times New Roman" w:cs="Arial"/>
                <w:color w:val="313131"/>
              </w:rPr>
            </w:pPr>
            <w:r w:rsidRPr="00F12F25">
              <w:rPr>
                <w:rFonts w:eastAsia="Times New Roman" w:cs="Arial"/>
                <w:color w:val="313131"/>
              </w:rPr>
              <w:t xml:space="preserve">The course justification should explain the approach </w:t>
            </w:r>
            <w:r w:rsidRPr="00F12F25">
              <w:rPr>
                <w:rFonts w:eastAsia="Times New Roman" w:cs="Arial"/>
                <w:color w:val="313131"/>
              </w:rPr>
              <w:lastRenderedPageBreak/>
              <w:t>and focus with respect to its chronological, geographical, and/or topical content. A methodological component (e.g. hi</w:t>
            </w:r>
            <w:r w:rsidRPr="00F61EFB">
              <w:rPr>
                <w:rFonts w:eastAsia="Times New Roman" w:cs="Arial"/>
                <w:color w:val="313131"/>
              </w:rPr>
              <w:t xml:space="preserve">storiography or </w:t>
            </w:r>
            <w:r w:rsidRPr="00F12F25">
              <w:rPr>
                <w:rFonts w:eastAsia="Times New Roman" w:cs="Arial"/>
                <w:color w:val="313131"/>
              </w:rPr>
              <w:t>ethnography) m</w:t>
            </w:r>
            <w:r w:rsidRPr="00F61EFB">
              <w:rPr>
                <w:rFonts w:eastAsia="Times New Roman" w:cs="Arial"/>
                <w:color w:val="313131"/>
              </w:rPr>
              <w:t>ust be apparent.</w:t>
            </w:r>
          </w:p>
          <w:p w:rsidR="000B0ABD" w:rsidRPr="00F61EFB" w:rsidRDefault="000B0ABD" w:rsidP="00B33623">
            <w:pPr>
              <w:spacing w:before="100" w:beforeAutospacing="1" w:after="100" w:afterAutospacing="1" w:line="240" w:lineRule="auto"/>
              <w:ind w:right="-255"/>
              <w:rPr>
                <w:rFonts w:eastAsia="Times New Roman" w:cs="Arial"/>
                <w:color w:val="313131"/>
              </w:rPr>
            </w:pPr>
          </w:p>
        </w:tc>
        <w:tc>
          <w:tcPr>
            <w:tcW w:w="4590" w:type="dxa"/>
            <w:hideMark/>
          </w:tcPr>
          <w:p w:rsidR="000B0ABD" w:rsidRPr="00F61EFB" w:rsidRDefault="000B0ABD" w:rsidP="00B33623">
            <w:pPr>
              <w:spacing w:before="100" w:beforeAutospacing="1" w:after="100" w:afterAutospacing="1" w:line="240" w:lineRule="auto"/>
              <w:ind w:left="288"/>
              <w:rPr>
                <w:rFonts w:eastAsia="Times New Roman" w:cs="Arial"/>
                <w:color w:val="313131"/>
              </w:rPr>
            </w:pPr>
            <w:r>
              <w:rPr>
                <w:rFonts w:eastAsia="Times New Roman" w:cs="Arial"/>
                <w:color w:val="313131"/>
                <w:u w:val="single"/>
              </w:rPr>
              <w:lastRenderedPageBreak/>
              <w:br/>
            </w:r>
            <w:r w:rsidRPr="00F61EFB">
              <w:rPr>
                <w:rFonts w:eastAsia="Times New Roman" w:cs="Arial"/>
                <w:color w:val="313131"/>
                <w:u w:val="single"/>
              </w:rPr>
              <w:t>Learning Goals</w:t>
            </w:r>
            <w:r>
              <w:rPr>
                <w:rFonts w:eastAsia="Times New Roman" w:cs="Arial"/>
                <w:color w:val="313131"/>
                <w:u w:val="single"/>
              </w:rPr>
              <w:t>:</w:t>
            </w:r>
            <w:r w:rsidRPr="00F61EFB">
              <w:rPr>
                <w:rFonts w:eastAsia="Times New Roman" w:cs="Arial"/>
                <w:color w:val="313131"/>
                <w:u w:val="single"/>
              </w:rPr>
              <w:br/>
            </w:r>
            <w:r w:rsidRPr="00F61EFB">
              <w:rPr>
                <w:rFonts w:eastAsia="Times New Roman" w:cs="Arial"/>
                <w:color w:val="313131"/>
              </w:rPr>
              <w:t xml:space="preserve">Upon completion of this </w:t>
            </w:r>
            <w:r>
              <w:rPr>
                <w:rFonts w:eastAsia="Times New Roman" w:cs="Arial"/>
                <w:color w:val="313131"/>
              </w:rPr>
              <w:t>group</w:t>
            </w:r>
            <w:r w:rsidRPr="00F61EFB">
              <w:rPr>
                <w:rFonts w:eastAsia="Times New Roman" w:cs="Arial"/>
                <w:color w:val="313131"/>
              </w:rPr>
              <w:t>, a student will be able to:</w:t>
            </w:r>
          </w:p>
          <w:p w:rsidR="000B0ABD" w:rsidRPr="006F077E" w:rsidRDefault="000B0ABD" w:rsidP="000B0ABD">
            <w:pPr>
              <w:numPr>
                <w:ilvl w:val="0"/>
                <w:numId w:val="34"/>
              </w:numPr>
              <w:spacing w:before="100" w:beforeAutospacing="1" w:after="100" w:afterAutospacing="1" w:line="240" w:lineRule="auto"/>
              <w:ind w:left="225"/>
              <w:rPr>
                <w:rFonts w:eastAsia="Times New Roman" w:cs="Arial"/>
                <w:color w:val="313131"/>
              </w:rPr>
            </w:pPr>
            <w:r w:rsidRPr="00F61EFB">
              <w:rPr>
                <w:rFonts w:eastAsia="Times New Roman" w:cs="Arial"/>
                <w:color w:val="313131"/>
              </w:rPr>
              <w:t xml:space="preserve">1. </w:t>
            </w:r>
            <w:r w:rsidRPr="006F077E">
              <w:rPr>
                <w:rFonts w:eastAsia="Times New Roman" w:cs="Arial"/>
                <w:color w:val="313131"/>
              </w:rPr>
              <w:t xml:space="preserve">synthesize ideas and information with a view to understanding the causes and consequences of historical developments and events; </w:t>
            </w:r>
          </w:p>
          <w:p w:rsidR="000B0ABD" w:rsidRPr="00F12F25" w:rsidRDefault="000B0ABD" w:rsidP="000B0ABD">
            <w:pPr>
              <w:numPr>
                <w:ilvl w:val="0"/>
                <w:numId w:val="34"/>
              </w:numPr>
              <w:spacing w:before="100" w:beforeAutospacing="1" w:after="100" w:afterAutospacing="1" w:line="240" w:lineRule="auto"/>
              <w:ind w:left="225"/>
              <w:rPr>
                <w:rFonts w:eastAsia="Times New Roman" w:cs="Arial"/>
                <w:color w:val="313131"/>
              </w:rPr>
            </w:pPr>
            <w:r w:rsidRPr="006F077E">
              <w:rPr>
                <w:rFonts w:eastAsia="Times New Roman" w:cs="Arial"/>
                <w:color w:val="313131"/>
              </w:rPr>
              <w:t>2. evaluate texts or artifacts within their historica</w:t>
            </w:r>
            <w:r w:rsidRPr="00F12F25">
              <w:rPr>
                <w:rFonts w:eastAsia="Times New Roman" w:cs="Arial"/>
                <w:color w:val="313131"/>
              </w:rPr>
              <w:t xml:space="preserve">l and/or cultural contexts; </w:t>
            </w:r>
          </w:p>
          <w:p w:rsidR="000B0ABD" w:rsidRPr="00F61EFB" w:rsidRDefault="000B0ABD" w:rsidP="000B0ABD">
            <w:pPr>
              <w:numPr>
                <w:ilvl w:val="0"/>
                <w:numId w:val="34"/>
              </w:numPr>
              <w:spacing w:before="100" w:beforeAutospacing="1" w:after="100" w:afterAutospacing="1" w:line="240" w:lineRule="auto"/>
              <w:ind w:left="225"/>
              <w:rPr>
                <w:rFonts w:eastAsia="Times New Roman" w:cs="Arial"/>
                <w:color w:val="313131"/>
              </w:rPr>
            </w:pPr>
            <w:r w:rsidRPr="00F12F25">
              <w:rPr>
                <w:rFonts w:eastAsia="Times New Roman" w:cs="Arial"/>
                <w:color w:val="313131"/>
              </w:rPr>
              <w:t xml:space="preserve">3. </w:t>
            </w:r>
            <w:proofErr w:type="gramStart"/>
            <w:r w:rsidRPr="00F12F25">
              <w:rPr>
                <w:rFonts w:eastAsia="Times New Roman" w:cs="Arial"/>
                <w:color w:val="313131"/>
              </w:rPr>
              <w:t>analyze</w:t>
            </w:r>
            <w:proofErr w:type="gramEnd"/>
            <w:r w:rsidRPr="00F12F25">
              <w:rPr>
                <w:rFonts w:eastAsia="Times New Roman" w:cs="Arial"/>
                <w:color w:val="313131"/>
              </w:rPr>
              <w:t xml:space="preserve"> human behavior, ideas, and </w:t>
            </w:r>
            <w:r w:rsidRPr="00F12F25">
              <w:rPr>
                <w:rFonts w:eastAsia="Times New Roman" w:cs="Arial"/>
                <w:color w:val="313131"/>
              </w:rPr>
              <w:lastRenderedPageBreak/>
              <w:t>institutions within their respective historical and/or cultural co</w:t>
            </w:r>
            <w:r w:rsidRPr="00EB2A73">
              <w:rPr>
                <w:rFonts w:eastAsia="Times New Roman" w:cs="Arial"/>
                <w:color w:val="313131"/>
              </w:rPr>
              <w:t>ntexts</w:t>
            </w:r>
            <w:r w:rsidRPr="00F61EFB">
              <w:rPr>
                <w:rFonts w:eastAsia="Times New Roman" w:cs="Arial"/>
                <w:color w:val="313131"/>
              </w:rPr>
              <w:t xml:space="preserve">. </w:t>
            </w:r>
          </w:p>
          <w:p w:rsidR="000B0ABD" w:rsidRPr="00F61EFB" w:rsidRDefault="000B0ABD" w:rsidP="00B33623">
            <w:pPr>
              <w:spacing w:before="100" w:beforeAutospacing="1" w:after="240" w:line="240" w:lineRule="auto"/>
              <w:rPr>
                <w:rFonts w:eastAsia="Times New Roman" w:cs="Arial"/>
                <w:color w:val="313131"/>
              </w:rPr>
            </w:pPr>
            <w:r w:rsidRPr="00F61EFB">
              <w:rPr>
                <w:rFonts w:eastAsia="Times New Roman" w:cs="Arial"/>
                <w:color w:val="313131"/>
                <w:u w:val="single"/>
              </w:rPr>
              <w:br/>
            </w:r>
          </w:p>
        </w:tc>
      </w:tr>
    </w:tbl>
    <w:p w:rsidR="0015302C" w:rsidRDefault="0015302C" w:rsidP="00AA55D8">
      <w:pPr>
        <w:pStyle w:val="Heading2"/>
      </w:pPr>
    </w:p>
    <w:p w:rsidR="00AA55D8" w:rsidRDefault="00AA55D8" w:rsidP="00AA55D8">
      <w:pPr>
        <w:pStyle w:val="Heading2"/>
      </w:pPr>
      <w:r>
        <w:t>Email sent to Provost Edmond 1/23</w:t>
      </w:r>
    </w:p>
    <w:p w:rsidR="00AA55D8" w:rsidRDefault="00AA55D8">
      <w:r w:rsidRPr="00AA55D8">
        <w:t>FW: UM campus policy is in violation of Board of Regents transfer policy 301.5.5 – Common Course Numbering</w:t>
      </w:r>
    </w:p>
    <w:p w:rsidR="00AA55D8" w:rsidRDefault="00AA55D8"/>
    <w:p w:rsidR="00AA55D8" w:rsidRDefault="00AA55D8" w:rsidP="00AA55D8">
      <w:pPr>
        <w:rPr>
          <w:color w:val="000000"/>
        </w:rPr>
      </w:pPr>
      <w:r>
        <w:rPr>
          <w:rFonts w:ascii="Times New Roman" w:hAnsi="Times New Roman"/>
          <w:color w:val="000000"/>
          <w:sz w:val="24"/>
          <w:szCs w:val="24"/>
        </w:rPr>
        <w:t>Dear Provost Edmond,</w:t>
      </w:r>
    </w:p>
    <w:p w:rsidR="00AA55D8" w:rsidRDefault="00AA55D8" w:rsidP="00AA55D8">
      <w:pPr>
        <w:rPr>
          <w:color w:val="000000"/>
        </w:rPr>
      </w:pPr>
      <w:r>
        <w:rPr>
          <w:rFonts w:ascii="Times New Roman" w:hAnsi="Times New Roman"/>
          <w:color w:val="000000"/>
          <w:sz w:val="24"/>
          <w:szCs w:val="24"/>
        </w:rPr>
        <w:t> </w:t>
      </w:r>
    </w:p>
    <w:p w:rsidR="00AA55D8" w:rsidRDefault="00AA55D8" w:rsidP="00AA55D8">
      <w:pPr>
        <w:rPr>
          <w:color w:val="000000"/>
        </w:rPr>
      </w:pPr>
      <w:r>
        <w:rPr>
          <w:rFonts w:ascii="Times New Roman" w:hAnsi="Times New Roman"/>
          <w:color w:val="000000"/>
          <w:sz w:val="24"/>
          <w:szCs w:val="24"/>
        </w:rPr>
        <w:t>It has recently come to my attention that UM campus policy is in violation of Board of Regents transfer policy 301.5.5 – Common Course Numbering. The specific campus policies that are at issue are 1) Writing Course Requirement Regarding Transfer Students and 2) Cross-Listing of Courses. I write to you today to request that you amend these policies and campus practices to bring them into compliance with Board policy. I have described the specific issues and how I would like to see them addressed below.</w:t>
      </w:r>
    </w:p>
    <w:p w:rsidR="00AA55D8" w:rsidRDefault="00AA55D8" w:rsidP="00AA55D8">
      <w:pPr>
        <w:numPr>
          <w:ilvl w:val="0"/>
          <w:numId w:val="36"/>
        </w:numPr>
        <w:spacing w:after="160" w:line="240" w:lineRule="auto"/>
        <w:rPr>
          <w:rFonts w:eastAsia="Times New Roman"/>
          <w:color w:val="000000"/>
        </w:rPr>
      </w:pPr>
      <w:r>
        <w:rPr>
          <w:rFonts w:ascii="Times New Roman" w:eastAsia="Times New Roman" w:hAnsi="Times New Roman"/>
          <w:color w:val="000000"/>
          <w:sz w:val="24"/>
          <w:szCs w:val="24"/>
        </w:rPr>
        <w:t>Writing Course Requirement Regarding Transfer Students</w:t>
      </w:r>
    </w:p>
    <w:p w:rsidR="00AA55D8" w:rsidRDefault="00AA55D8" w:rsidP="00AA55D8">
      <w:pPr>
        <w:pStyle w:val="ListParagraph"/>
        <w:rPr>
          <w:color w:val="000000"/>
        </w:rPr>
      </w:pPr>
      <w:r>
        <w:rPr>
          <w:rFonts w:ascii="Times New Roman" w:hAnsi="Times New Roman"/>
          <w:color w:val="000000"/>
          <w:sz w:val="24"/>
          <w:szCs w:val="24"/>
        </w:rPr>
        <w:t xml:space="preserve">I am aware that UM has campus specific writing course requirements to which all students must comply and I understand that in certain cases additional evaluation of transfer student coursework may be necessary to determine if another campus’ coursework meets the requirements for an intermediate writing course. While this is a permissible policy for courses transferred from institutions outside of the Montana University System or courses not offered on the UM campus, it is strictly in violation of policy when it is required for a commonly numbered course transferred from another Montana University System campus offered at UM. </w:t>
      </w:r>
      <w:proofErr w:type="gramStart"/>
      <w:r>
        <w:rPr>
          <w:rFonts w:ascii="Times New Roman" w:hAnsi="Times New Roman"/>
          <w:color w:val="000000"/>
          <w:sz w:val="24"/>
          <w:szCs w:val="24"/>
        </w:rPr>
        <w:t>Board of Regents Policy 301.5.5 A. 2.</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states</w:t>
      </w:r>
      <w:proofErr w:type="gramEnd"/>
      <w:r>
        <w:rPr>
          <w:rFonts w:ascii="Times New Roman" w:hAnsi="Times New Roman"/>
          <w:color w:val="000000"/>
          <w:sz w:val="24"/>
          <w:szCs w:val="24"/>
        </w:rPr>
        <w:t xml:space="preserve"> that: “Courses determined to be equivalent shall be accepted as if the courses had been taken at the receiving campus.” This includes meeting all campus specific designations such as an intermediate writing course.</w:t>
      </w:r>
    </w:p>
    <w:p w:rsidR="00AA55D8" w:rsidRDefault="00AA55D8" w:rsidP="00AA55D8">
      <w:pPr>
        <w:pStyle w:val="ListParagraph"/>
        <w:rPr>
          <w:color w:val="000000"/>
        </w:rPr>
      </w:pPr>
      <w:r>
        <w:rPr>
          <w:rFonts w:ascii="Times New Roman" w:hAnsi="Times New Roman"/>
          <w:color w:val="000000"/>
          <w:sz w:val="24"/>
          <w:szCs w:val="24"/>
        </w:rPr>
        <w:t xml:space="preserve">For example: If a student from a Montana University System campus has successfully completed </w:t>
      </w:r>
      <w:proofErr w:type="spellStart"/>
      <w:r>
        <w:rPr>
          <w:rFonts w:ascii="Times New Roman" w:hAnsi="Times New Roman"/>
          <w:color w:val="000000"/>
          <w:sz w:val="24"/>
          <w:szCs w:val="24"/>
        </w:rPr>
        <w:t>BMGT</w:t>
      </w:r>
      <w:proofErr w:type="spellEnd"/>
      <w:r>
        <w:rPr>
          <w:rFonts w:ascii="Times New Roman" w:hAnsi="Times New Roman"/>
          <w:color w:val="000000"/>
          <w:sz w:val="24"/>
          <w:szCs w:val="24"/>
        </w:rPr>
        <w:t xml:space="preserve"> 205 and transfers to UM, the course must be accepted as </w:t>
      </w:r>
      <w:proofErr w:type="spellStart"/>
      <w:r>
        <w:rPr>
          <w:rFonts w:ascii="Times New Roman" w:hAnsi="Times New Roman"/>
          <w:color w:val="000000"/>
          <w:sz w:val="24"/>
          <w:szCs w:val="24"/>
        </w:rPr>
        <w:t>BMGT</w:t>
      </w:r>
      <w:proofErr w:type="spellEnd"/>
      <w:r>
        <w:rPr>
          <w:rFonts w:ascii="Times New Roman" w:hAnsi="Times New Roman"/>
          <w:color w:val="000000"/>
          <w:sz w:val="24"/>
          <w:szCs w:val="24"/>
        </w:rPr>
        <w:t xml:space="preserve"> 205 at UM which according to the 2015-2016 approved intermediate writing catalog fulfills the requirements for intermediate writing. Thus, the student cannot be required to submit additional documentation to demonstrate their course met this requirement.</w:t>
      </w:r>
    </w:p>
    <w:p w:rsidR="00AA55D8" w:rsidRDefault="00AA55D8"/>
    <w:p w:rsidR="00AA55D8" w:rsidRDefault="00AA55D8" w:rsidP="00AA55D8">
      <w:pPr>
        <w:numPr>
          <w:ilvl w:val="0"/>
          <w:numId w:val="35"/>
        </w:numPr>
        <w:spacing w:after="160" w:line="240" w:lineRule="auto"/>
        <w:rPr>
          <w:rFonts w:eastAsia="Times New Roman"/>
          <w:color w:val="000000"/>
        </w:rPr>
      </w:pPr>
      <w:r>
        <w:rPr>
          <w:rFonts w:ascii="Times New Roman" w:eastAsia="Times New Roman" w:hAnsi="Times New Roman"/>
          <w:color w:val="000000"/>
          <w:sz w:val="24"/>
          <w:szCs w:val="24"/>
        </w:rPr>
        <w:t>Cross-Listing of Courses</w:t>
      </w:r>
    </w:p>
    <w:p w:rsidR="00AA55D8" w:rsidRDefault="00AA55D8" w:rsidP="00AA55D8">
      <w:pPr>
        <w:pStyle w:val="ListParagraph"/>
        <w:rPr>
          <w:color w:val="000000"/>
        </w:rPr>
      </w:pPr>
      <w:r>
        <w:rPr>
          <w:rFonts w:ascii="Times New Roman" w:hAnsi="Times New Roman"/>
          <w:color w:val="000000"/>
          <w:sz w:val="24"/>
          <w:szCs w:val="24"/>
        </w:rPr>
        <w:t xml:space="preserve">To assist UM with the transition to Common Course Numbering many years ago, the Commissioner’s Office granted UM approval to continue cross-listing courses until they could be completely phased out. At this time, it is my belief that cross-listing is not in the best interest of the students or campuses of the Montana University System. For this reason, I am requiring that all cross-listing, in all departments and colleges, at UM be phased out by </w:t>
      </w:r>
      <w:proofErr w:type="gramStart"/>
      <w:r>
        <w:rPr>
          <w:rFonts w:ascii="Times New Roman" w:hAnsi="Times New Roman"/>
          <w:color w:val="000000"/>
          <w:sz w:val="24"/>
          <w:szCs w:val="24"/>
        </w:rPr>
        <w:t>Fall</w:t>
      </w:r>
      <w:proofErr w:type="gramEnd"/>
      <w:r>
        <w:rPr>
          <w:rFonts w:ascii="Times New Roman" w:hAnsi="Times New Roman"/>
          <w:color w:val="000000"/>
          <w:sz w:val="24"/>
          <w:szCs w:val="24"/>
        </w:rPr>
        <w:t xml:space="preserve"> 2017.</w:t>
      </w:r>
    </w:p>
    <w:p w:rsidR="00AA55D8" w:rsidRDefault="00AA55D8" w:rsidP="00AA55D8">
      <w:pPr>
        <w:rPr>
          <w:color w:val="000000"/>
        </w:rPr>
      </w:pPr>
      <w:r>
        <w:rPr>
          <w:rFonts w:ascii="Times New Roman" w:hAnsi="Times New Roman"/>
          <w:color w:val="000000"/>
          <w:sz w:val="24"/>
          <w:szCs w:val="24"/>
        </w:rPr>
        <w:t>I greatly appreciate your attention to these matters. I know we all share the common goal of helping Montana’s students to succeed. Your swift action to bring UM into compliance with Board of Regents policy in these areas will ensure we continue to move in the right direction towards this goal. If you have any questions, please do not hesitate to reach out to either Elizabeth Ternes or to me.  Thank you.</w:t>
      </w:r>
    </w:p>
    <w:p w:rsidR="00AA55D8" w:rsidRDefault="00AA55D8" w:rsidP="00AA55D8">
      <w:pPr>
        <w:rPr>
          <w:color w:val="000000"/>
        </w:rPr>
      </w:pPr>
      <w:r>
        <w:rPr>
          <w:rFonts w:ascii="Times New Roman" w:hAnsi="Times New Roman"/>
          <w:color w:val="000000"/>
          <w:sz w:val="24"/>
          <w:szCs w:val="24"/>
        </w:rPr>
        <w:t> </w:t>
      </w:r>
    </w:p>
    <w:p w:rsidR="00AA55D8" w:rsidRDefault="00AA55D8" w:rsidP="00AA55D8">
      <w:pPr>
        <w:rPr>
          <w:color w:val="000000"/>
        </w:rPr>
      </w:pPr>
      <w:r>
        <w:rPr>
          <w:rFonts w:ascii="Times New Roman" w:hAnsi="Times New Roman"/>
          <w:color w:val="000000"/>
          <w:sz w:val="24"/>
          <w:szCs w:val="24"/>
        </w:rPr>
        <w:t>Sincerely,</w:t>
      </w:r>
    </w:p>
    <w:p w:rsidR="00AA55D8" w:rsidRDefault="00AA55D8" w:rsidP="00AA55D8">
      <w:pPr>
        <w:rPr>
          <w:color w:val="000000"/>
        </w:rPr>
      </w:pPr>
      <w:r>
        <w:rPr>
          <w:rFonts w:ascii="Times New Roman" w:hAnsi="Times New Roman"/>
          <w:color w:val="000000"/>
          <w:sz w:val="24"/>
          <w:szCs w:val="24"/>
        </w:rPr>
        <w:t> </w:t>
      </w:r>
    </w:p>
    <w:p w:rsidR="00AA55D8" w:rsidRDefault="00AA55D8" w:rsidP="00AA55D8">
      <w:pPr>
        <w:rPr>
          <w:color w:val="000000"/>
        </w:rPr>
      </w:pPr>
      <w:r>
        <w:rPr>
          <w:rFonts w:ascii="Times New Roman" w:hAnsi="Times New Roman"/>
          <w:color w:val="000000"/>
          <w:sz w:val="24"/>
          <w:szCs w:val="24"/>
        </w:rPr>
        <w:t> </w:t>
      </w:r>
    </w:p>
    <w:p w:rsidR="00AA55D8" w:rsidRDefault="00AA55D8" w:rsidP="00AA55D8">
      <w:pPr>
        <w:rPr>
          <w:color w:val="000000"/>
        </w:rPr>
      </w:pPr>
      <w:r>
        <w:rPr>
          <w:rFonts w:ascii="Times New Roman" w:hAnsi="Times New Roman"/>
          <w:color w:val="000000"/>
          <w:sz w:val="24"/>
          <w:szCs w:val="24"/>
        </w:rPr>
        <w:t>John</w:t>
      </w:r>
    </w:p>
    <w:p w:rsidR="00AA55D8" w:rsidRDefault="00AA55D8" w:rsidP="00AA55D8">
      <w:pPr>
        <w:rPr>
          <w:color w:val="000000"/>
        </w:rPr>
      </w:pPr>
      <w:r>
        <w:rPr>
          <w:rFonts w:ascii="Times New Roman" w:hAnsi="Times New Roman"/>
          <w:color w:val="000000"/>
          <w:sz w:val="24"/>
          <w:szCs w:val="24"/>
        </w:rPr>
        <w:t> </w:t>
      </w:r>
    </w:p>
    <w:p w:rsidR="00AA55D8" w:rsidRDefault="00AA55D8" w:rsidP="00AA55D8">
      <w:pPr>
        <w:spacing w:line="240" w:lineRule="auto"/>
        <w:rPr>
          <w:rFonts w:ascii="Times New Roman" w:hAnsi="Times New Roman"/>
          <w:color w:val="000000"/>
          <w:sz w:val="24"/>
          <w:szCs w:val="24"/>
        </w:rPr>
      </w:pPr>
      <w:r>
        <w:rPr>
          <w:rFonts w:ascii="Times New Roman" w:hAnsi="Times New Roman"/>
          <w:color w:val="000000"/>
          <w:sz w:val="24"/>
          <w:szCs w:val="24"/>
        </w:rPr>
        <w:t xml:space="preserve">John E. </w:t>
      </w:r>
      <w:proofErr w:type="spellStart"/>
      <w:r>
        <w:rPr>
          <w:rFonts w:ascii="Times New Roman" w:hAnsi="Times New Roman"/>
          <w:color w:val="000000"/>
          <w:sz w:val="24"/>
          <w:szCs w:val="24"/>
        </w:rPr>
        <w:t>Cech</w:t>
      </w:r>
      <w:proofErr w:type="spellEnd"/>
      <w:r>
        <w:rPr>
          <w:rFonts w:ascii="Times New Roman" w:hAnsi="Times New Roman"/>
          <w:color w:val="000000"/>
          <w:sz w:val="24"/>
          <w:szCs w:val="24"/>
        </w:rPr>
        <w:t>, Ph.D.</w:t>
      </w:r>
      <w:bookmarkStart w:id="0" w:name="_GoBack"/>
      <w:bookmarkEnd w:id="0"/>
    </w:p>
    <w:p w:rsidR="00AA55D8" w:rsidRDefault="00AA55D8" w:rsidP="00AA55D8">
      <w:pPr>
        <w:spacing w:line="240" w:lineRule="auto"/>
        <w:rPr>
          <w:color w:val="000000"/>
        </w:rPr>
      </w:pPr>
      <w:r>
        <w:rPr>
          <w:rFonts w:ascii="Times New Roman" w:hAnsi="Times New Roman"/>
          <w:color w:val="000000"/>
          <w:sz w:val="24"/>
          <w:szCs w:val="24"/>
        </w:rPr>
        <w:t>Deputy Commissioner – Academic &amp; Student Affairs</w:t>
      </w:r>
    </w:p>
    <w:p w:rsidR="00AA55D8" w:rsidRDefault="00AA55D8" w:rsidP="00AA55D8">
      <w:pPr>
        <w:spacing w:line="240" w:lineRule="auto"/>
        <w:rPr>
          <w:color w:val="000000"/>
        </w:rPr>
      </w:pPr>
      <w:r>
        <w:rPr>
          <w:rFonts w:ascii="Times New Roman" w:hAnsi="Times New Roman"/>
          <w:color w:val="000000"/>
          <w:sz w:val="24"/>
          <w:szCs w:val="24"/>
        </w:rPr>
        <w:t xml:space="preserve">Montana University System </w:t>
      </w:r>
    </w:p>
    <w:p w:rsidR="00AA55D8" w:rsidRDefault="00AA55D8" w:rsidP="00AA55D8">
      <w:pPr>
        <w:spacing w:line="240" w:lineRule="auto"/>
        <w:rPr>
          <w:color w:val="000000"/>
        </w:rPr>
      </w:pPr>
      <w:r>
        <w:rPr>
          <w:rFonts w:ascii="Times New Roman" w:hAnsi="Times New Roman"/>
          <w:color w:val="000000"/>
          <w:sz w:val="24"/>
          <w:szCs w:val="24"/>
        </w:rPr>
        <w:t>PO Box 203201</w:t>
      </w:r>
    </w:p>
    <w:p w:rsidR="00AA55D8" w:rsidRDefault="00AA55D8" w:rsidP="00AA55D8">
      <w:pPr>
        <w:spacing w:line="240" w:lineRule="auto"/>
        <w:rPr>
          <w:color w:val="000000"/>
        </w:rPr>
      </w:pPr>
      <w:r>
        <w:rPr>
          <w:rFonts w:ascii="Times New Roman" w:hAnsi="Times New Roman"/>
          <w:color w:val="000000"/>
          <w:sz w:val="24"/>
          <w:szCs w:val="24"/>
        </w:rPr>
        <w:t xml:space="preserve">2500 Broadway, Helena, MT 59620-3201 </w:t>
      </w:r>
    </w:p>
    <w:p w:rsidR="00AA55D8" w:rsidRDefault="00AA55D8" w:rsidP="00AA55D8">
      <w:pPr>
        <w:spacing w:line="240" w:lineRule="auto"/>
        <w:rPr>
          <w:color w:val="000000"/>
        </w:rPr>
      </w:pPr>
      <w:r>
        <w:rPr>
          <w:rFonts w:ascii="Times New Roman" w:hAnsi="Times New Roman"/>
          <w:color w:val="000000"/>
          <w:sz w:val="24"/>
          <w:szCs w:val="24"/>
        </w:rPr>
        <w:t xml:space="preserve">Phone: 406-444-0316 Fax: 406-444-1469 </w:t>
      </w:r>
    </w:p>
    <w:p w:rsidR="00AA55D8" w:rsidRDefault="00AA55D8" w:rsidP="00AA55D8">
      <w:pPr>
        <w:spacing w:line="240" w:lineRule="auto"/>
        <w:rPr>
          <w:color w:val="000000"/>
        </w:rPr>
      </w:pPr>
      <w:r>
        <w:rPr>
          <w:rFonts w:ascii="Times New Roman" w:hAnsi="Times New Roman"/>
          <w:color w:val="000000"/>
          <w:sz w:val="24"/>
          <w:szCs w:val="24"/>
        </w:rPr>
        <w:t>Cell:  406-670-0848</w:t>
      </w:r>
    </w:p>
    <w:p w:rsidR="00AA55D8" w:rsidRDefault="00AA55D8" w:rsidP="00AA55D8">
      <w:pPr>
        <w:spacing w:line="240" w:lineRule="auto"/>
        <w:rPr>
          <w:color w:val="000000"/>
        </w:rPr>
      </w:pPr>
      <w:r>
        <w:rPr>
          <w:rFonts w:ascii="Times New Roman" w:hAnsi="Times New Roman"/>
          <w:color w:val="000000"/>
          <w:sz w:val="24"/>
          <w:szCs w:val="24"/>
        </w:rPr>
        <w:t xml:space="preserve">E-mail: </w:t>
      </w:r>
      <w:hyperlink r:id="rId12" w:tgtFrame="_blank" w:history="1">
        <w:r>
          <w:rPr>
            <w:rStyle w:val="Hyperlink"/>
            <w:rFonts w:ascii="Times New Roman" w:hAnsi="Times New Roman"/>
            <w:sz w:val="24"/>
            <w:szCs w:val="24"/>
          </w:rPr>
          <w:t>jcech@montana.edu</w:t>
        </w:r>
      </w:hyperlink>
    </w:p>
    <w:p w:rsidR="00AA55D8" w:rsidRDefault="00AA55D8"/>
    <w:sectPr w:rsidR="00AA55D8"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DA43654"/>
    <w:multiLevelType w:val="hybridMultilevel"/>
    <w:tmpl w:val="E3B65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2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5"/>
  </w:num>
  <w:num w:numId="7">
    <w:abstractNumId w:val="15"/>
  </w:num>
  <w:num w:numId="8">
    <w:abstractNumId w:val="16"/>
  </w:num>
  <w:num w:numId="9">
    <w:abstractNumId w:val="27"/>
  </w:num>
  <w:num w:numId="10">
    <w:abstractNumId w:val="14"/>
  </w:num>
  <w:num w:numId="11">
    <w:abstractNumId w:val="33"/>
  </w:num>
  <w:num w:numId="12">
    <w:abstractNumId w:val="17"/>
  </w:num>
  <w:num w:numId="13">
    <w:abstractNumId w:val="31"/>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8"/>
  </w:num>
  <w:num w:numId="19">
    <w:abstractNumId w:val="25"/>
  </w:num>
  <w:num w:numId="20">
    <w:abstractNumId w:val="32"/>
  </w:num>
  <w:num w:numId="21">
    <w:abstractNumId w:val="6"/>
  </w:num>
  <w:num w:numId="22">
    <w:abstractNumId w:val="10"/>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8"/>
  </w:num>
  <w:num w:numId="27">
    <w:abstractNumId w:val="3"/>
  </w:num>
  <w:num w:numId="28">
    <w:abstractNumId w:val="30"/>
  </w:num>
  <w:num w:numId="29">
    <w:abstractNumId w:val="28"/>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22"/>
  </w:num>
  <w:num w:numId="33">
    <w:abstractNumId w:val="9"/>
  </w:num>
  <w:num w:numId="34">
    <w:abstractNumId w:val="11"/>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348F"/>
    <w:rsid w:val="00127D71"/>
    <w:rsid w:val="00130974"/>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76E"/>
    <w:rsid w:val="00260E8E"/>
    <w:rsid w:val="00261C1D"/>
    <w:rsid w:val="0026393D"/>
    <w:rsid w:val="00265BA1"/>
    <w:rsid w:val="00270D4B"/>
    <w:rsid w:val="00271D68"/>
    <w:rsid w:val="002747A5"/>
    <w:rsid w:val="002770B9"/>
    <w:rsid w:val="002777DF"/>
    <w:rsid w:val="0028105B"/>
    <w:rsid w:val="00281CDF"/>
    <w:rsid w:val="002847D9"/>
    <w:rsid w:val="00284D7A"/>
    <w:rsid w:val="00285DA4"/>
    <w:rsid w:val="00285E02"/>
    <w:rsid w:val="0029068F"/>
    <w:rsid w:val="00290751"/>
    <w:rsid w:val="00291678"/>
    <w:rsid w:val="00291B08"/>
    <w:rsid w:val="00292977"/>
    <w:rsid w:val="00296C9D"/>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0A1"/>
    <w:rsid w:val="0035707B"/>
    <w:rsid w:val="00361EF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0A8"/>
    <w:rsid w:val="003A4413"/>
    <w:rsid w:val="003A538C"/>
    <w:rsid w:val="003A5C51"/>
    <w:rsid w:val="003A5E77"/>
    <w:rsid w:val="003A6338"/>
    <w:rsid w:val="003B1084"/>
    <w:rsid w:val="003B28E0"/>
    <w:rsid w:val="003B3061"/>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6F0"/>
    <w:rsid w:val="004B1722"/>
    <w:rsid w:val="004B380A"/>
    <w:rsid w:val="004B437D"/>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51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773E"/>
    <w:rsid w:val="005D28A8"/>
    <w:rsid w:val="005D4766"/>
    <w:rsid w:val="005D5D6D"/>
    <w:rsid w:val="005E398C"/>
    <w:rsid w:val="005E440F"/>
    <w:rsid w:val="005E7704"/>
    <w:rsid w:val="005E7BDE"/>
    <w:rsid w:val="005F15DC"/>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53437"/>
    <w:rsid w:val="00653814"/>
    <w:rsid w:val="00654556"/>
    <w:rsid w:val="00655C21"/>
    <w:rsid w:val="00656BCF"/>
    <w:rsid w:val="00661FF3"/>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1BA"/>
    <w:rsid w:val="00697365"/>
    <w:rsid w:val="006979BF"/>
    <w:rsid w:val="006A0EBE"/>
    <w:rsid w:val="006A1A9E"/>
    <w:rsid w:val="006A2170"/>
    <w:rsid w:val="006A7400"/>
    <w:rsid w:val="006A780E"/>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47F3D"/>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6157"/>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9F679D"/>
    <w:rsid w:val="00A04985"/>
    <w:rsid w:val="00A067DE"/>
    <w:rsid w:val="00A06E18"/>
    <w:rsid w:val="00A1048B"/>
    <w:rsid w:val="00A11683"/>
    <w:rsid w:val="00A12E86"/>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55D8"/>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6389"/>
    <w:rsid w:val="00B8760A"/>
    <w:rsid w:val="00B879BD"/>
    <w:rsid w:val="00B87EB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05783"/>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773D8"/>
    <w:rsid w:val="00C82123"/>
    <w:rsid w:val="00C8448C"/>
    <w:rsid w:val="00C85B23"/>
    <w:rsid w:val="00C86885"/>
    <w:rsid w:val="00C86D3F"/>
    <w:rsid w:val="00C90829"/>
    <w:rsid w:val="00C966F1"/>
    <w:rsid w:val="00CA212F"/>
    <w:rsid w:val="00CA3736"/>
    <w:rsid w:val="00CA4057"/>
    <w:rsid w:val="00CB2849"/>
    <w:rsid w:val="00CB373A"/>
    <w:rsid w:val="00CB3BA3"/>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1CE"/>
    <w:rsid w:val="00D502CB"/>
    <w:rsid w:val="00D522DD"/>
    <w:rsid w:val="00D549ED"/>
    <w:rsid w:val="00D54AB2"/>
    <w:rsid w:val="00D54F58"/>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AF1"/>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apps.umt.edu/winapps/adminfin/eCurr/CourseForm/Index/160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inapps.umt.edu/winapps/adminfin/eCurr/CourseForm/Index/1604" TargetMode="External"/><Relationship Id="rId12" Type="http://schemas.openxmlformats.org/officeDocument/2006/relationships/hyperlink" Target="mailto:jcech@mon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napps.umt.edu/winapps/adminfin/eCurr/CourseForm/Index/1603" TargetMode="External"/><Relationship Id="rId11" Type="http://schemas.openxmlformats.org/officeDocument/2006/relationships/hyperlink" Target="https://www.umt.edu/winapps/adminfin/eCurr/CourseForm/Index/1377" TargetMode="External"/><Relationship Id="rId5" Type="http://schemas.openxmlformats.org/officeDocument/2006/relationships/webSettings" Target="webSettings.xml"/><Relationship Id="rId10" Type="http://schemas.openxmlformats.org/officeDocument/2006/relationships/hyperlink" Target="https://winapps.umt.edu/winapps/adminfin/eCurr/CourseForm/Index/1559" TargetMode="External"/><Relationship Id="rId4" Type="http://schemas.openxmlformats.org/officeDocument/2006/relationships/settings" Target="settings.xml"/><Relationship Id="rId9" Type="http://schemas.openxmlformats.org/officeDocument/2006/relationships/hyperlink" Target="https://winapps.umt.edu/winapps/adminfin/eCurr/CourseForm/Index/16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2017-02-02T17:12:00Z</dcterms:created>
  <dcterms:modified xsi:type="dcterms:W3CDTF">2017-02-02T17:12:00Z</dcterms:modified>
</cp:coreProperties>
</file>