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0BEB" w14:textId="55F09F33" w:rsidR="00BC19AF" w:rsidRDefault="00BC19AF" w:rsidP="00C5427E">
      <w:pPr>
        <w:pStyle w:val="Heading1"/>
        <w:rPr>
          <w:rFonts w:eastAsia="Times New Roman"/>
        </w:rPr>
      </w:pPr>
      <w:r>
        <w:rPr>
          <w:rFonts w:eastAsia="Times New Roman"/>
        </w:rPr>
        <w:t xml:space="preserve">Writing Committee Annual Report, </w:t>
      </w:r>
      <w:r w:rsidR="002B7E88">
        <w:rPr>
          <w:rFonts w:eastAsia="Times New Roman"/>
        </w:rPr>
        <w:t>2022-2023</w:t>
      </w:r>
    </w:p>
    <w:p w14:paraId="04180247" w14:textId="77777777" w:rsidR="00BC19AF" w:rsidRDefault="00BC19AF" w:rsidP="00BC19AF">
      <w:pPr>
        <w:pStyle w:val="Heading2"/>
        <w:rPr>
          <w:rFonts w:eastAsia="Times New Roman"/>
        </w:rPr>
      </w:pPr>
    </w:p>
    <w:p w14:paraId="281C1158" w14:textId="77777777" w:rsidR="009705BB" w:rsidRPr="009705BB" w:rsidRDefault="009705BB" w:rsidP="00BC19AF">
      <w:pPr>
        <w:pStyle w:val="Heading2"/>
        <w:rPr>
          <w:rFonts w:eastAsia="Times New Roman"/>
        </w:rPr>
      </w:pPr>
      <w:r w:rsidRPr="009705BB">
        <w:rPr>
          <w:rFonts w:eastAsia="Times New Roman"/>
        </w:rPr>
        <w:t>Writing Committee Members</w:t>
      </w:r>
    </w:p>
    <w:p w14:paraId="365F76F1" w14:textId="08E5741E" w:rsidR="009705BB" w:rsidRPr="00E56F7E" w:rsidRDefault="009705BB" w:rsidP="009705BB">
      <w:pPr>
        <w:shd w:val="clear" w:color="auto" w:fill="FFFFFF"/>
        <w:spacing w:after="330" w:line="240" w:lineRule="auto"/>
        <w:rPr>
          <w:rFonts w:eastAsia="Times New Roman" w:cstheme="minorHAnsi"/>
          <w:color w:val="222222"/>
        </w:rPr>
      </w:pPr>
      <w:r w:rsidRPr="0082334C">
        <w:rPr>
          <w:rFonts w:eastAsia="Times New Roman" w:cstheme="minorHAnsi"/>
          <w:b/>
          <w:bCs/>
          <w:color w:val="222222"/>
        </w:rPr>
        <w:t>Faculty Members  </w:t>
      </w:r>
      <w:r w:rsidR="00814F99">
        <w:rPr>
          <w:rFonts w:eastAsia="Times New Roman" w:cstheme="minorHAnsi"/>
          <w:b/>
          <w:bCs/>
          <w:color w:val="222222"/>
        </w:rPr>
        <w:br/>
      </w:r>
      <w:r w:rsidRPr="00E56F7E">
        <w:rPr>
          <w:rFonts w:eastAsia="Times New Roman" w:cstheme="minorHAnsi"/>
          <w:color w:val="222222"/>
        </w:rPr>
        <w:t>Jessica Dougherty, Missoula College (2023) - Chair</w:t>
      </w:r>
      <w:r w:rsidRPr="00E56F7E">
        <w:rPr>
          <w:rFonts w:eastAsia="Times New Roman" w:cstheme="minorHAnsi"/>
          <w:color w:val="222222"/>
        </w:rPr>
        <w:br/>
      </w:r>
      <w:r w:rsidRPr="00E56F7E">
        <w:rPr>
          <w:rFonts w:eastAsia="Times New Roman" w:cstheme="minorHAnsi"/>
          <w:color w:val="222222"/>
        </w:rPr>
        <w:br/>
        <w:t>Kate Zoellner, Mansfield Library (2023)</w:t>
      </w:r>
      <w:r w:rsidRPr="00E56F7E">
        <w:rPr>
          <w:rFonts w:eastAsia="Times New Roman" w:cstheme="minorHAnsi"/>
          <w:color w:val="222222"/>
        </w:rPr>
        <w:br/>
      </w:r>
      <w:r w:rsidR="00665661" w:rsidRPr="00665661">
        <w:rPr>
          <w:rFonts w:cstheme="minorHAnsi"/>
          <w:color w:val="000000"/>
          <w:shd w:val="clear" w:color="auto" w:fill="FFFFFF"/>
        </w:rPr>
        <w:t>William Rice, Forestry (2024)</w:t>
      </w:r>
      <w:r w:rsidR="00665661" w:rsidRPr="00665661">
        <w:rPr>
          <w:rFonts w:cstheme="minorHAnsi"/>
          <w:color w:val="000000"/>
        </w:rPr>
        <w:br/>
      </w:r>
      <w:r w:rsidR="00665661" w:rsidRPr="00665661">
        <w:rPr>
          <w:rFonts w:cstheme="minorHAnsi"/>
          <w:color w:val="000000"/>
          <w:shd w:val="clear" w:color="auto" w:fill="FFFFFF"/>
        </w:rPr>
        <w:t>Stephanie Reid, Teaching &amp; Learning (2024)</w:t>
      </w:r>
      <w:r w:rsidR="00665661" w:rsidRPr="00665661">
        <w:rPr>
          <w:rFonts w:cstheme="minorHAnsi"/>
          <w:color w:val="000000"/>
        </w:rPr>
        <w:br/>
      </w:r>
      <w:r w:rsidR="00665661" w:rsidRPr="00665661">
        <w:rPr>
          <w:rFonts w:cstheme="minorHAnsi"/>
          <w:color w:val="000000"/>
          <w:shd w:val="clear" w:color="auto" w:fill="FFFFFF"/>
        </w:rPr>
        <w:t>Greg Peters, Applied Arts &amp; Sciences (2024)</w:t>
      </w:r>
      <w:r w:rsidRPr="00E56F7E">
        <w:rPr>
          <w:rFonts w:eastAsia="Times New Roman" w:cstheme="minorHAnsi"/>
          <w:color w:val="222222"/>
        </w:rPr>
        <w:br/>
      </w:r>
      <w:r w:rsidR="00065A4F">
        <w:rPr>
          <w:rFonts w:eastAsia="Times New Roman" w:cstheme="minorHAnsi"/>
          <w:color w:val="222222"/>
        </w:rPr>
        <w:t xml:space="preserve">Dora LaCasse, World Language and Cultures (2025) </w:t>
      </w:r>
    </w:p>
    <w:p w14:paraId="0762CA28" w14:textId="424C7A17" w:rsidR="009705BB" w:rsidRDefault="009705BB" w:rsidP="009705BB">
      <w:pPr>
        <w:shd w:val="clear" w:color="auto" w:fill="FFFFFF"/>
        <w:spacing w:after="330" w:line="240" w:lineRule="auto"/>
        <w:rPr>
          <w:rFonts w:eastAsia="Times New Roman" w:cstheme="minorHAnsi"/>
          <w:color w:val="222222"/>
        </w:rPr>
      </w:pPr>
      <w:r w:rsidRPr="00E56F7E">
        <w:rPr>
          <w:rFonts w:eastAsia="Times New Roman" w:cstheme="minorHAnsi"/>
          <w:b/>
          <w:bCs/>
          <w:color w:val="222222"/>
        </w:rPr>
        <w:t>Student Members</w:t>
      </w:r>
      <w:r w:rsidRPr="00E56F7E">
        <w:rPr>
          <w:rFonts w:eastAsia="Times New Roman" w:cstheme="minorHAnsi"/>
          <w:b/>
          <w:bCs/>
          <w:color w:val="222222"/>
        </w:rPr>
        <w:br/>
      </w:r>
      <w:r w:rsidR="001967E0">
        <w:rPr>
          <w:rFonts w:eastAsia="Times New Roman" w:cstheme="minorHAnsi"/>
          <w:color w:val="222222"/>
        </w:rPr>
        <w:t>________________</w:t>
      </w:r>
      <w:r w:rsidRPr="00E56F7E">
        <w:rPr>
          <w:rFonts w:eastAsia="Times New Roman" w:cstheme="minorHAnsi"/>
          <w:color w:val="222222"/>
        </w:rPr>
        <w:br/>
      </w:r>
      <w:r w:rsidRPr="00E56F7E">
        <w:rPr>
          <w:rFonts w:eastAsia="Times New Roman" w:cstheme="minorHAnsi"/>
          <w:color w:val="222222"/>
        </w:rPr>
        <w:br/>
      </w:r>
      <w:r w:rsidRPr="00E56F7E">
        <w:rPr>
          <w:rFonts w:eastAsia="Times New Roman" w:cstheme="minorHAnsi"/>
          <w:b/>
          <w:bCs/>
          <w:color w:val="222222"/>
        </w:rPr>
        <w:t>Additional Representatives</w:t>
      </w:r>
      <w:r w:rsidRPr="00E56F7E">
        <w:rPr>
          <w:rFonts w:eastAsia="Times New Roman" w:cstheme="minorHAnsi"/>
          <w:color w:val="222222"/>
        </w:rPr>
        <w:t> (Ex-Officio)</w:t>
      </w:r>
      <w:r w:rsidRPr="00E56F7E">
        <w:rPr>
          <w:rFonts w:eastAsia="Times New Roman" w:cstheme="minorHAnsi"/>
          <w:color w:val="222222"/>
        </w:rPr>
        <w:br/>
      </w:r>
      <w:r w:rsidR="002B7E88">
        <w:rPr>
          <w:rFonts w:eastAsia="Times New Roman" w:cstheme="minorHAnsi"/>
          <w:color w:val="222222"/>
        </w:rPr>
        <w:t>Kimber McKay</w:t>
      </w:r>
      <w:r w:rsidRPr="00E56F7E">
        <w:rPr>
          <w:rFonts w:eastAsia="Times New Roman" w:cstheme="minorHAnsi"/>
          <w:color w:val="222222"/>
        </w:rPr>
        <w:t xml:space="preserve">, </w:t>
      </w:r>
      <w:r w:rsidR="002B7E88">
        <w:rPr>
          <w:rFonts w:eastAsia="Times New Roman" w:cstheme="minorHAnsi"/>
          <w:color w:val="222222"/>
        </w:rPr>
        <w:t xml:space="preserve">Acting </w:t>
      </w:r>
      <w:r w:rsidRPr="00E56F7E">
        <w:rPr>
          <w:rFonts w:eastAsia="Times New Roman" w:cstheme="minorHAnsi"/>
          <w:color w:val="222222"/>
        </w:rPr>
        <w:t>Vice Provost</w:t>
      </w:r>
      <w:r w:rsidRPr="00E56F7E">
        <w:rPr>
          <w:rFonts w:eastAsia="Times New Roman" w:cstheme="minorHAnsi"/>
          <w:color w:val="222222"/>
        </w:rPr>
        <w:br/>
        <w:t>Shareen Grogan, Director, Writing &amp; Public Speaking Center</w:t>
      </w:r>
      <w:r w:rsidRPr="00E56F7E">
        <w:rPr>
          <w:rFonts w:eastAsia="Times New Roman" w:cstheme="minorHAnsi"/>
          <w:color w:val="222222"/>
        </w:rPr>
        <w:br/>
      </w:r>
      <w:r w:rsidR="005271ED" w:rsidRPr="005271ED">
        <w:rPr>
          <w:rFonts w:eastAsia="Times New Roman" w:cstheme="minorHAnsi"/>
          <w:color w:val="222222"/>
        </w:rPr>
        <w:t>Kelly Schirmann</w:t>
      </w:r>
      <w:r w:rsidR="00E92875" w:rsidRPr="005271ED">
        <w:rPr>
          <w:rFonts w:eastAsia="Times New Roman" w:cstheme="minorHAnsi"/>
          <w:color w:val="222222"/>
        </w:rPr>
        <w:t xml:space="preserve">, </w:t>
      </w:r>
      <w:r w:rsidR="002B7E88" w:rsidRPr="005271ED">
        <w:rPr>
          <w:rFonts w:eastAsia="Times New Roman" w:cstheme="minorHAnsi"/>
          <w:color w:val="222222"/>
        </w:rPr>
        <w:t>Interim</w:t>
      </w:r>
      <w:r w:rsidR="002B7E88">
        <w:rPr>
          <w:rFonts w:eastAsia="Times New Roman" w:cstheme="minorHAnsi"/>
          <w:color w:val="222222"/>
        </w:rPr>
        <w:t xml:space="preserve"> </w:t>
      </w:r>
      <w:r w:rsidR="00E92875">
        <w:rPr>
          <w:rFonts w:eastAsia="Times New Roman" w:cstheme="minorHAnsi"/>
          <w:color w:val="222222"/>
        </w:rPr>
        <w:t>Director of Composition and Faculty Member in English</w:t>
      </w:r>
      <w:r w:rsidR="00E92875">
        <w:rPr>
          <w:rFonts w:eastAsia="Times New Roman" w:cstheme="minorHAnsi"/>
          <w:color w:val="222222"/>
        </w:rPr>
        <w:br/>
      </w:r>
      <w:r w:rsidRPr="00E56F7E">
        <w:rPr>
          <w:rFonts w:eastAsia="Times New Roman" w:cstheme="minorHAnsi"/>
          <w:color w:val="222222"/>
        </w:rPr>
        <w:t xml:space="preserve">Amy Ratto-Parks, UPWA </w:t>
      </w:r>
      <w:r w:rsidR="00E92875">
        <w:rPr>
          <w:rFonts w:eastAsia="Times New Roman" w:cstheme="minorHAnsi"/>
          <w:color w:val="222222"/>
        </w:rPr>
        <w:t>Program Director</w:t>
      </w:r>
      <w:r w:rsidR="00814F99">
        <w:rPr>
          <w:rFonts w:eastAsia="Times New Roman" w:cstheme="minorHAnsi"/>
          <w:color w:val="222222"/>
        </w:rPr>
        <w:br/>
      </w:r>
      <w:r w:rsidR="00814F99" w:rsidRPr="00E56F7E">
        <w:rPr>
          <w:rFonts w:eastAsia="Times New Roman" w:cstheme="minorHAnsi"/>
          <w:color w:val="222222"/>
        </w:rPr>
        <w:t xml:space="preserve">Jeanie Castillo, </w:t>
      </w:r>
      <w:proofErr w:type="spellStart"/>
      <w:r w:rsidR="00814F99">
        <w:rPr>
          <w:rFonts w:eastAsia="Times New Roman" w:cstheme="minorHAnsi"/>
          <w:color w:val="222222"/>
        </w:rPr>
        <w:t>UMOnline</w:t>
      </w:r>
      <w:proofErr w:type="spellEnd"/>
      <w:r w:rsidR="00814F99">
        <w:rPr>
          <w:rFonts w:eastAsia="Times New Roman" w:cstheme="minorHAnsi"/>
          <w:color w:val="222222"/>
        </w:rPr>
        <w:t xml:space="preserve"> Instructional Designer</w:t>
      </w:r>
    </w:p>
    <w:p w14:paraId="7FD9601A" w14:textId="4E67769E" w:rsidR="00F27C75" w:rsidRDefault="00F27C75" w:rsidP="002A62A2">
      <w:pPr>
        <w:pStyle w:val="NormalWeb"/>
        <w:shd w:val="clear" w:color="auto" w:fill="FFFFFF"/>
        <w:spacing w:before="0" w:beforeAutospacing="0" w:after="0" w:afterAutospacing="0" w:line="240" w:lineRule="auto"/>
        <w:rPr>
          <w:rFonts w:asciiTheme="minorHAnsi" w:hAnsiTheme="minorHAnsi" w:cstheme="minorHAnsi"/>
          <w:color w:val="000000"/>
        </w:rPr>
      </w:pPr>
      <w:r w:rsidRPr="00F27C75">
        <w:rPr>
          <w:rStyle w:val="Heading2Char"/>
          <w:b/>
        </w:rPr>
        <w:t>Responsibilities</w:t>
      </w:r>
      <w:r>
        <w:rPr>
          <w:rFonts w:cstheme="minorHAnsi"/>
          <w:color w:val="222222"/>
        </w:rPr>
        <w:br/>
      </w:r>
      <w:r>
        <w:rPr>
          <w:rFonts w:cstheme="minorHAnsi"/>
          <w:color w:val="222222"/>
        </w:rPr>
        <w:br/>
      </w:r>
      <w:r w:rsidRPr="00F27C75">
        <w:rPr>
          <w:rFonts w:asciiTheme="minorHAnsi" w:hAnsiTheme="minorHAnsi" w:cstheme="minorHAnsi"/>
          <w:color w:val="000000"/>
        </w:rPr>
        <w:t>The primary responsibility of the Writing Committee is ongoing evaluation and assessment of General Education writing requirements.  The Writing Committee advocates for effective writing instruction, curriculum, and assessment; and reviews course proposals for the writing designation and transfer equivalency appeals for writing courses.  In addition, the Committee monitors the programs of the Writing Center, monitors the University-wide Program-level Writing Assessment, and collaborates with campus groups to provide faculty development workshops.</w:t>
      </w:r>
    </w:p>
    <w:p w14:paraId="723E73C5" w14:textId="60EC4DBE" w:rsidR="00D3239E" w:rsidRDefault="00D3239E" w:rsidP="002A62A2">
      <w:pPr>
        <w:pStyle w:val="NormalWeb"/>
        <w:shd w:val="clear" w:color="auto" w:fill="FFFFFF"/>
        <w:spacing w:before="0" w:beforeAutospacing="0" w:after="0" w:afterAutospacing="0" w:line="240" w:lineRule="auto"/>
        <w:rPr>
          <w:rFonts w:asciiTheme="minorHAnsi" w:hAnsiTheme="minorHAnsi" w:cstheme="minorHAnsi"/>
          <w:color w:val="000000"/>
        </w:rPr>
      </w:pPr>
    </w:p>
    <w:p w14:paraId="646F518E" w14:textId="355D796A" w:rsidR="00D3239E" w:rsidRPr="00F27C75" w:rsidRDefault="00D3239E" w:rsidP="002A62A2">
      <w:pPr>
        <w:pStyle w:val="NormalWeb"/>
        <w:shd w:val="clear" w:color="auto" w:fill="FFFFFF"/>
        <w:spacing w:before="0" w:beforeAutospacing="0" w:after="0" w:afterAutospacing="0" w:line="240" w:lineRule="auto"/>
        <w:rPr>
          <w:rFonts w:ascii="Arial" w:hAnsi="Arial" w:cs="Arial"/>
          <w:color w:val="000000"/>
          <w:sz w:val="27"/>
          <w:szCs w:val="27"/>
        </w:rPr>
      </w:pPr>
      <w:r>
        <w:rPr>
          <w:rFonts w:asciiTheme="minorHAnsi" w:hAnsiTheme="minorHAnsi" w:cstheme="minorHAnsi"/>
          <w:color w:val="000000"/>
        </w:rPr>
        <w:t xml:space="preserve">The Committee continued to meet via Zoom since the Chair and another member are located at Missoula College.  The Committee met monthly spring semester. </w:t>
      </w:r>
    </w:p>
    <w:p w14:paraId="73F20265" w14:textId="77777777" w:rsidR="00856367" w:rsidRDefault="00C64A16" w:rsidP="005628CC">
      <w:pPr>
        <w:pStyle w:val="Heading2"/>
      </w:pPr>
      <w:r>
        <w:br/>
      </w:r>
      <w:r w:rsidRPr="006A1E1C">
        <w:rPr>
          <w:rStyle w:val="Heading3Char"/>
        </w:rPr>
        <w:t>Writing Course Review</w:t>
      </w:r>
      <w:r>
        <w:br/>
      </w:r>
      <w:r w:rsidR="00241F90">
        <w:t xml:space="preserve"> </w:t>
      </w:r>
    </w:p>
    <w:p w14:paraId="3BDF4866" w14:textId="77777777" w:rsidR="00FD502B" w:rsidRDefault="009705BB" w:rsidP="00FD78A8">
      <w:pPr>
        <w:pStyle w:val="ListParagraph"/>
        <w:numPr>
          <w:ilvl w:val="0"/>
          <w:numId w:val="4"/>
        </w:numPr>
      </w:pPr>
      <w:r>
        <w:t xml:space="preserve">The following </w:t>
      </w:r>
      <w:r w:rsidR="00665661">
        <w:t xml:space="preserve">new </w:t>
      </w:r>
      <w:r w:rsidR="00A3761A">
        <w:t xml:space="preserve">Advanced </w:t>
      </w:r>
      <w:r>
        <w:t xml:space="preserve">Writing Courses were reviewed and given provisional approval. </w:t>
      </w:r>
      <w:r w:rsidR="00FD502B">
        <w:br/>
      </w:r>
    </w:p>
    <w:tbl>
      <w:tblPr>
        <w:tblW w:w="663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377"/>
      </w:tblGrid>
      <w:tr w:rsidR="00FD502B" w:rsidRPr="00861099" w14:paraId="3E8D0A13" w14:textId="77777777" w:rsidTr="00EC5421">
        <w:trPr>
          <w:trHeight w:val="315"/>
        </w:trPr>
        <w:tc>
          <w:tcPr>
            <w:tcW w:w="1260" w:type="dxa"/>
            <w:shd w:val="clear" w:color="auto" w:fill="auto"/>
            <w:noWrap/>
            <w:hideMark/>
          </w:tcPr>
          <w:p w14:paraId="7FE94C17" w14:textId="77777777" w:rsidR="00FD502B" w:rsidRPr="00861099" w:rsidRDefault="00FD502B" w:rsidP="00EC5421">
            <w:pPr>
              <w:tabs>
                <w:tab w:val="left" w:pos="0"/>
              </w:tabs>
              <w:spacing w:after="0" w:line="240" w:lineRule="auto"/>
              <w:rPr>
                <w:rFonts w:ascii="Calibri" w:hAnsi="Calibri" w:cs="Calibri"/>
                <w:color w:val="000000"/>
              </w:rPr>
            </w:pPr>
            <w:r w:rsidRPr="00861099">
              <w:rPr>
                <w:rFonts w:ascii="Calibri" w:hAnsi="Calibri" w:cs="Calibri"/>
                <w:color w:val="000000"/>
              </w:rPr>
              <w:t xml:space="preserve">Course </w:t>
            </w:r>
          </w:p>
        </w:tc>
        <w:tc>
          <w:tcPr>
            <w:tcW w:w="5377" w:type="dxa"/>
            <w:shd w:val="clear" w:color="auto" w:fill="auto"/>
            <w:noWrap/>
            <w:hideMark/>
          </w:tcPr>
          <w:p w14:paraId="341902CC" w14:textId="77777777" w:rsidR="00FD502B" w:rsidRPr="00861099" w:rsidRDefault="00FD502B" w:rsidP="00EC5421">
            <w:pPr>
              <w:spacing w:after="0" w:line="240" w:lineRule="auto"/>
              <w:rPr>
                <w:rFonts w:ascii="Calibri" w:hAnsi="Calibri" w:cs="Calibri"/>
                <w:color w:val="000000"/>
              </w:rPr>
            </w:pPr>
            <w:r w:rsidRPr="00861099">
              <w:rPr>
                <w:rFonts w:ascii="Calibri" w:hAnsi="Calibri" w:cs="Calibri"/>
                <w:color w:val="000000"/>
              </w:rPr>
              <w:t>Title</w:t>
            </w:r>
          </w:p>
        </w:tc>
      </w:tr>
      <w:tr w:rsidR="00FD502B" w:rsidRPr="00861099" w14:paraId="34F945EB" w14:textId="77777777" w:rsidTr="00EC5421">
        <w:trPr>
          <w:trHeight w:val="296"/>
        </w:trPr>
        <w:tc>
          <w:tcPr>
            <w:tcW w:w="1260" w:type="dxa"/>
            <w:shd w:val="clear" w:color="000000" w:fill="FFFFFF"/>
            <w:noWrap/>
            <w:vAlign w:val="bottom"/>
          </w:tcPr>
          <w:p w14:paraId="43C85D0F" w14:textId="77777777" w:rsidR="00FD502B" w:rsidRPr="00861099" w:rsidRDefault="00FD502B" w:rsidP="00EC5421">
            <w:pPr>
              <w:spacing w:after="0" w:line="240" w:lineRule="auto"/>
              <w:rPr>
                <w:rFonts w:ascii="Calibri" w:hAnsi="Calibri" w:cs="Calibri"/>
                <w:color w:val="000000"/>
              </w:rPr>
            </w:pPr>
            <w:r>
              <w:rPr>
                <w:rFonts w:ascii="Calibri" w:hAnsi="Calibri" w:cs="Calibri"/>
                <w:color w:val="000000"/>
              </w:rPr>
              <w:t>HSTA 463</w:t>
            </w:r>
          </w:p>
        </w:tc>
        <w:tc>
          <w:tcPr>
            <w:tcW w:w="5377" w:type="dxa"/>
            <w:shd w:val="clear" w:color="auto" w:fill="auto"/>
            <w:noWrap/>
            <w:vAlign w:val="bottom"/>
          </w:tcPr>
          <w:p w14:paraId="78A6E056" w14:textId="77777777" w:rsidR="00FD502B" w:rsidRPr="00861099" w:rsidRDefault="00FD502B" w:rsidP="00EC5421">
            <w:pPr>
              <w:spacing w:after="0" w:line="240" w:lineRule="auto"/>
              <w:rPr>
                <w:rFonts w:ascii="Calibri" w:hAnsi="Calibri" w:cs="Calibri"/>
                <w:color w:val="000000"/>
              </w:rPr>
            </w:pPr>
            <w:r>
              <w:rPr>
                <w:rFonts w:ascii="Calibri" w:hAnsi="Calibri" w:cs="Calibri"/>
                <w:color w:val="000000"/>
              </w:rPr>
              <w:t>Research in 19th &amp; 20th Century Native American History</w:t>
            </w:r>
          </w:p>
        </w:tc>
      </w:tr>
      <w:tr w:rsidR="00FD502B" w:rsidRPr="00861099" w14:paraId="7788F384" w14:textId="77777777" w:rsidTr="00EC5421">
        <w:trPr>
          <w:trHeight w:val="332"/>
        </w:trPr>
        <w:tc>
          <w:tcPr>
            <w:tcW w:w="1260" w:type="dxa"/>
            <w:shd w:val="clear" w:color="000000" w:fill="FFFFFF"/>
            <w:noWrap/>
            <w:vAlign w:val="bottom"/>
          </w:tcPr>
          <w:p w14:paraId="59FC19D1" w14:textId="77777777" w:rsidR="00FD502B" w:rsidRPr="00861099" w:rsidRDefault="00FD502B" w:rsidP="00EC5421">
            <w:pPr>
              <w:spacing w:after="0" w:line="240" w:lineRule="auto"/>
              <w:rPr>
                <w:rFonts w:ascii="Calibri" w:hAnsi="Calibri" w:cs="Calibri"/>
                <w:color w:val="000000"/>
              </w:rPr>
            </w:pPr>
            <w:r w:rsidRPr="009B3A21">
              <w:rPr>
                <w:rFonts w:ascii="Calibri" w:eastAsia="Times New Roman" w:hAnsi="Calibri" w:cs="Calibri"/>
                <w:color w:val="000000"/>
              </w:rPr>
              <w:t>SOCI 425</w:t>
            </w:r>
          </w:p>
        </w:tc>
        <w:tc>
          <w:tcPr>
            <w:tcW w:w="5377" w:type="dxa"/>
            <w:shd w:val="clear" w:color="auto" w:fill="auto"/>
            <w:noWrap/>
            <w:vAlign w:val="bottom"/>
          </w:tcPr>
          <w:p w14:paraId="377751C6" w14:textId="77777777" w:rsidR="00FD502B" w:rsidRPr="00861099" w:rsidRDefault="00FD502B" w:rsidP="00EC5421">
            <w:pPr>
              <w:spacing w:after="0" w:line="240" w:lineRule="auto"/>
              <w:rPr>
                <w:rFonts w:ascii="Calibri" w:hAnsi="Calibri" w:cs="Calibri"/>
                <w:color w:val="000000"/>
              </w:rPr>
            </w:pPr>
            <w:r w:rsidRPr="009B3A21">
              <w:rPr>
                <w:rFonts w:ascii="Calibri" w:eastAsia="Times New Roman" w:hAnsi="Calibri" w:cs="Calibri"/>
                <w:color w:val="000000"/>
              </w:rPr>
              <w:t>Victims and Society</w:t>
            </w:r>
          </w:p>
        </w:tc>
      </w:tr>
      <w:tr w:rsidR="00FD502B" w:rsidRPr="00861099" w14:paraId="1EDE037A" w14:textId="77777777" w:rsidTr="00EC5421">
        <w:trPr>
          <w:trHeight w:val="278"/>
        </w:trPr>
        <w:tc>
          <w:tcPr>
            <w:tcW w:w="1260" w:type="dxa"/>
            <w:shd w:val="clear" w:color="000000" w:fill="FFFFFF"/>
            <w:noWrap/>
            <w:vAlign w:val="bottom"/>
          </w:tcPr>
          <w:p w14:paraId="5BF2FFF2" w14:textId="77777777" w:rsidR="00FD502B" w:rsidRPr="00861099" w:rsidRDefault="00FD502B" w:rsidP="00EC5421">
            <w:pPr>
              <w:spacing w:after="0" w:line="240" w:lineRule="auto"/>
              <w:rPr>
                <w:rFonts w:ascii="Calibri" w:hAnsi="Calibri" w:cs="Calibri"/>
                <w:color w:val="000000"/>
              </w:rPr>
            </w:pPr>
            <w:r w:rsidRPr="009B3A21">
              <w:rPr>
                <w:rFonts w:ascii="Calibri" w:eastAsia="Times New Roman" w:hAnsi="Calibri" w:cs="Calibri"/>
                <w:color w:val="000000"/>
              </w:rPr>
              <w:t>SOCI 469</w:t>
            </w:r>
          </w:p>
        </w:tc>
        <w:tc>
          <w:tcPr>
            <w:tcW w:w="5377" w:type="dxa"/>
            <w:shd w:val="clear" w:color="auto" w:fill="auto"/>
            <w:noWrap/>
            <w:vAlign w:val="bottom"/>
          </w:tcPr>
          <w:p w14:paraId="1451BD76" w14:textId="77777777" w:rsidR="00FD502B" w:rsidRPr="00861099" w:rsidRDefault="00FD502B" w:rsidP="00EC5421">
            <w:pPr>
              <w:spacing w:after="0" w:line="240" w:lineRule="auto"/>
              <w:rPr>
                <w:rFonts w:ascii="Calibri" w:hAnsi="Calibri" w:cs="Calibri"/>
                <w:color w:val="000000"/>
              </w:rPr>
            </w:pPr>
            <w:r w:rsidRPr="009B3A21">
              <w:rPr>
                <w:rFonts w:ascii="Calibri" w:eastAsia="Times New Roman" w:hAnsi="Calibri" w:cs="Calibri"/>
                <w:color w:val="000000"/>
              </w:rPr>
              <w:t>Homicide</w:t>
            </w:r>
          </w:p>
        </w:tc>
      </w:tr>
    </w:tbl>
    <w:p w14:paraId="5E52EC57" w14:textId="12C1CC32" w:rsidR="009705BB" w:rsidRDefault="00FD502B" w:rsidP="004D68ED">
      <w:pPr>
        <w:pStyle w:val="ListParagraph"/>
        <w:numPr>
          <w:ilvl w:val="0"/>
          <w:numId w:val="4"/>
        </w:numPr>
      </w:pPr>
      <w:r>
        <w:lastRenderedPageBreak/>
        <w:t>The Committee conducting the rolling review of humanities courses.  It also reviewed several assessment reports from professional schools’ courses.   A total of 22 forms were reviewed by three workgroups.</w:t>
      </w:r>
      <w:r w:rsidR="00C9175E">
        <w:t xml:space="preserve"> </w:t>
      </w:r>
      <w:r>
        <w:br/>
      </w:r>
    </w:p>
    <w:p w14:paraId="45EC846B" w14:textId="72D624B1" w:rsidR="001967E0" w:rsidRDefault="005628CC" w:rsidP="00337DD3">
      <w:pPr>
        <w:pStyle w:val="ListParagraph"/>
        <w:numPr>
          <w:ilvl w:val="0"/>
          <w:numId w:val="4"/>
        </w:numPr>
        <w:rPr>
          <w:rFonts w:cstheme="minorHAnsi"/>
          <w:color w:val="4472C4" w:themeColor="accent1"/>
        </w:rPr>
      </w:pPr>
      <w:r w:rsidRPr="00195B02">
        <w:rPr>
          <w:rFonts w:cstheme="minorHAnsi"/>
        </w:rPr>
        <w:t xml:space="preserve">The </w:t>
      </w:r>
      <w:hyperlink r:id="rId5" w:history="1">
        <w:r w:rsidRPr="00C9175E">
          <w:rPr>
            <w:rStyle w:val="Hyperlink"/>
            <w:rFonts w:cstheme="minorHAnsi"/>
          </w:rPr>
          <w:t>Rolling Review summary</w:t>
        </w:r>
      </w:hyperlink>
      <w:r w:rsidR="00A36C83" w:rsidRPr="00195B02">
        <w:rPr>
          <w:rFonts w:cstheme="minorHAnsi"/>
        </w:rPr>
        <w:t xml:space="preserve"> </w:t>
      </w:r>
      <w:r w:rsidRPr="00195B02">
        <w:rPr>
          <w:rFonts w:cstheme="minorHAnsi"/>
        </w:rPr>
        <w:t xml:space="preserve">was presented to the Faculty Senate on </w:t>
      </w:r>
      <w:r w:rsidR="00195B02" w:rsidRPr="00195B02">
        <w:rPr>
          <w:rFonts w:cstheme="minorHAnsi"/>
        </w:rPr>
        <w:t>March 1</w:t>
      </w:r>
      <w:r w:rsidR="00FD502B">
        <w:rPr>
          <w:rFonts w:cstheme="minorHAnsi"/>
        </w:rPr>
        <w:t>6th</w:t>
      </w:r>
      <w:r w:rsidRPr="00195B02">
        <w:rPr>
          <w:rFonts w:cstheme="minorHAnsi"/>
          <w:color w:val="4472C4" w:themeColor="accent1"/>
        </w:rPr>
        <w:t xml:space="preserve">. </w:t>
      </w:r>
      <w:r w:rsidR="00394215" w:rsidRPr="00195B02">
        <w:rPr>
          <w:rFonts w:cstheme="minorHAnsi"/>
          <w:color w:val="4472C4" w:themeColor="accent1"/>
        </w:rPr>
        <w:t xml:space="preserve"> </w:t>
      </w:r>
      <w:r w:rsidR="001967E0">
        <w:rPr>
          <w:rFonts w:cstheme="minorHAnsi"/>
          <w:color w:val="4472C4" w:themeColor="accent1"/>
        </w:rPr>
        <w:t xml:space="preserve"> </w:t>
      </w:r>
      <w:r w:rsidR="001967E0" w:rsidRPr="001967E0">
        <w:rPr>
          <w:rFonts w:cstheme="minorHAnsi"/>
        </w:rPr>
        <w:t xml:space="preserve">Below is </w:t>
      </w:r>
      <w:r w:rsidR="002C72F8">
        <w:rPr>
          <w:rFonts w:cstheme="minorHAnsi"/>
        </w:rPr>
        <w:t xml:space="preserve">the ongoing status of forms. </w:t>
      </w:r>
      <w:r w:rsidR="001967E0" w:rsidRPr="001967E0">
        <w:rPr>
          <w:rFonts w:cstheme="minorHAnsi"/>
        </w:rPr>
        <w:t xml:space="preserve">Four intermediate writing courses were removed </w:t>
      </w:r>
      <w:r w:rsidR="001159D0">
        <w:rPr>
          <w:rFonts w:cstheme="minorHAnsi"/>
        </w:rPr>
        <w:t xml:space="preserve">from the list </w:t>
      </w:r>
      <w:r w:rsidR="001967E0" w:rsidRPr="001967E0">
        <w:rPr>
          <w:rFonts w:cstheme="minorHAnsi"/>
        </w:rPr>
        <w:t xml:space="preserve">because they are no longer offered. </w:t>
      </w:r>
      <w:r w:rsidR="001967E0" w:rsidRPr="001967E0">
        <w:rPr>
          <w:rFonts w:cstheme="minorHAnsi"/>
        </w:rPr>
        <w:br/>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133"/>
        <w:gridCol w:w="2050"/>
        <w:gridCol w:w="2135"/>
      </w:tblGrid>
      <w:tr w:rsidR="001967E0" w:rsidRPr="00CA635C" w14:paraId="3B85248C" w14:textId="77777777" w:rsidTr="001159D0">
        <w:tc>
          <w:tcPr>
            <w:tcW w:w="2410" w:type="dxa"/>
            <w:shd w:val="clear" w:color="auto" w:fill="D9D9D9"/>
          </w:tcPr>
          <w:p w14:paraId="1DA0D690" w14:textId="77777777" w:rsidR="001967E0" w:rsidRPr="00CA635C" w:rsidRDefault="001967E0" w:rsidP="00F00868">
            <w:pPr>
              <w:spacing w:after="0"/>
              <w:rPr>
                <w:b/>
              </w:rPr>
            </w:pPr>
            <w:r w:rsidRPr="00CA635C">
              <w:rPr>
                <w:b/>
              </w:rPr>
              <w:t>2020-2021- CD</w:t>
            </w:r>
            <w:r w:rsidRPr="00CA635C">
              <w:rPr>
                <w:b/>
              </w:rPr>
              <w:br/>
              <w:t>WRIT/LIT/Fine Arts</w:t>
            </w:r>
          </w:p>
        </w:tc>
        <w:tc>
          <w:tcPr>
            <w:tcW w:w="2133" w:type="dxa"/>
            <w:shd w:val="clear" w:color="auto" w:fill="D9D9D9"/>
          </w:tcPr>
          <w:p w14:paraId="3E54160C" w14:textId="77777777" w:rsidR="001967E0" w:rsidRPr="00CA635C" w:rsidRDefault="001967E0" w:rsidP="00F00868">
            <w:pPr>
              <w:spacing w:after="0"/>
              <w:rPr>
                <w:b/>
              </w:rPr>
            </w:pPr>
            <w:r w:rsidRPr="00CA635C">
              <w:rPr>
                <w:b/>
              </w:rPr>
              <w:t>Full approval</w:t>
            </w:r>
          </w:p>
        </w:tc>
        <w:tc>
          <w:tcPr>
            <w:tcW w:w="2050" w:type="dxa"/>
            <w:shd w:val="clear" w:color="auto" w:fill="D9D9D9"/>
          </w:tcPr>
          <w:p w14:paraId="3ADEABFE" w14:textId="77777777" w:rsidR="001967E0" w:rsidRPr="00CA635C" w:rsidRDefault="001967E0" w:rsidP="00F00868">
            <w:pPr>
              <w:spacing w:after="0"/>
              <w:rPr>
                <w:b/>
              </w:rPr>
            </w:pPr>
            <w:r w:rsidRPr="00CA635C">
              <w:rPr>
                <w:b/>
              </w:rPr>
              <w:t>Provisional</w:t>
            </w:r>
          </w:p>
        </w:tc>
        <w:tc>
          <w:tcPr>
            <w:tcW w:w="2135" w:type="dxa"/>
            <w:shd w:val="clear" w:color="auto" w:fill="D9D9D9"/>
          </w:tcPr>
          <w:p w14:paraId="0B78FCC1" w14:textId="77777777" w:rsidR="001967E0" w:rsidRPr="00CA635C" w:rsidRDefault="001967E0" w:rsidP="00F00868">
            <w:pPr>
              <w:spacing w:after="0"/>
              <w:rPr>
                <w:b/>
              </w:rPr>
            </w:pPr>
            <w:r w:rsidRPr="00CA635C">
              <w:rPr>
                <w:b/>
              </w:rPr>
              <w:t>Extension</w:t>
            </w:r>
          </w:p>
        </w:tc>
      </w:tr>
      <w:tr w:rsidR="001967E0" w14:paraId="14040C7C" w14:textId="77777777" w:rsidTr="001159D0">
        <w:tc>
          <w:tcPr>
            <w:tcW w:w="2410" w:type="dxa"/>
            <w:shd w:val="clear" w:color="auto" w:fill="auto"/>
          </w:tcPr>
          <w:p w14:paraId="7DD7DDAE" w14:textId="77777777" w:rsidR="001967E0" w:rsidRDefault="001967E0" w:rsidP="00F00868">
            <w:pPr>
              <w:spacing w:after="0"/>
            </w:pPr>
            <w:r>
              <w:t>Intermediate</w:t>
            </w:r>
          </w:p>
        </w:tc>
        <w:tc>
          <w:tcPr>
            <w:tcW w:w="2133" w:type="dxa"/>
            <w:shd w:val="clear" w:color="auto" w:fill="auto"/>
          </w:tcPr>
          <w:p w14:paraId="5D605FB5" w14:textId="77777777" w:rsidR="001967E0" w:rsidRDefault="001967E0" w:rsidP="00F00868">
            <w:pPr>
              <w:spacing w:after="0"/>
            </w:pPr>
            <w:r>
              <w:t>11</w:t>
            </w:r>
          </w:p>
        </w:tc>
        <w:tc>
          <w:tcPr>
            <w:tcW w:w="2050" w:type="dxa"/>
            <w:shd w:val="clear" w:color="auto" w:fill="auto"/>
          </w:tcPr>
          <w:p w14:paraId="55449A90" w14:textId="77777777" w:rsidR="001967E0" w:rsidRDefault="001967E0" w:rsidP="00F00868">
            <w:pPr>
              <w:spacing w:after="0"/>
            </w:pPr>
            <w:r>
              <w:t>4</w:t>
            </w:r>
          </w:p>
        </w:tc>
        <w:tc>
          <w:tcPr>
            <w:tcW w:w="2135" w:type="dxa"/>
            <w:shd w:val="clear" w:color="auto" w:fill="auto"/>
          </w:tcPr>
          <w:p w14:paraId="43EA7129" w14:textId="77777777" w:rsidR="001967E0" w:rsidRDefault="001967E0" w:rsidP="00F00868">
            <w:pPr>
              <w:spacing w:after="0"/>
            </w:pPr>
          </w:p>
        </w:tc>
      </w:tr>
      <w:tr w:rsidR="001967E0" w14:paraId="55C5E902" w14:textId="77777777" w:rsidTr="001159D0">
        <w:tc>
          <w:tcPr>
            <w:tcW w:w="2410" w:type="dxa"/>
            <w:shd w:val="clear" w:color="auto" w:fill="auto"/>
          </w:tcPr>
          <w:p w14:paraId="7A5FBBAC" w14:textId="77777777" w:rsidR="001967E0" w:rsidRDefault="001967E0" w:rsidP="00F00868">
            <w:pPr>
              <w:spacing w:after="0"/>
            </w:pPr>
            <w:r>
              <w:t>Advanced</w:t>
            </w:r>
          </w:p>
        </w:tc>
        <w:tc>
          <w:tcPr>
            <w:tcW w:w="2133" w:type="dxa"/>
            <w:shd w:val="clear" w:color="auto" w:fill="auto"/>
          </w:tcPr>
          <w:p w14:paraId="45AFB264" w14:textId="77777777" w:rsidR="001967E0" w:rsidRDefault="001967E0" w:rsidP="00F00868">
            <w:pPr>
              <w:spacing w:after="0"/>
            </w:pPr>
            <w:r>
              <w:t>5</w:t>
            </w:r>
          </w:p>
        </w:tc>
        <w:tc>
          <w:tcPr>
            <w:tcW w:w="2050" w:type="dxa"/>
            <w:shd w:val="clear" w:color="auto" w:fill="auto"/>
          </w:tcPr>
          <w:p w14:paraId="005B7861" w14:textId="77777777" w:rsidR="001967E0" w:rsidRDefault="001967E0" w:rsidP="00F00868">
            <w:pPr>
              <w:spacing w:after="0"/>
            </w:pPr>
            <w:r>
              <w:t>4</w:t>
            </w:r>
          </w:p>
        </w:tc>
        <w:tc>
          <w:tcPr>
            <w:tcW w:w="2135" w:type="dxa"/>
            <w:shd w:val="clear" w:color="auto" w:fill="auto"/>
          </w:tcPr>
          <w:p w14:paraId="5025D0BE" w14:textId="77777777" w:rsidR="001967E0" w:rsidRDefault="001967E0" w:rsidP="00F00868">
            <w:pPr>
              <w:spacing w:after="0"/>
            </w:pPr>
            <w:r>
              <w:t>2</w:t>
            </w:r>
          </w:p>
        </w:tc>
      </w:tr>
      <w:tr w:rsidR="001967E0" w14:paraId="10C23CC8" w14:textId="77777777" w:rsidTr="001159D0">
        <w:tc>
          <w:tcPr>
            <w:tcW w:w="2410" w:type="dxa"/>
            <w:shd w:val="clear" w:color="auto" w:fill="auto"/>
          </w:tcPr>
          <w:p w14:paraId="2488CDBE" w14:textId="77777777" w:rsidR="001967E0" w:rsidRDefault="001967E0" w:rsidP="00F00868">
            <w:pPr>
              <w:spacing w:after="0"/>
            </w:pPr>
            <w:r w:rsidRPr="00CA635C">
              <w:rPr>
                <w:b/>
              </w:rPr>
              <w:t>2021-2022</w:t>
            </w:r>
            <w:r>
              <w:t xml:space="preserve"> -CD</w:t>
            </w:r>
            <w:r>
              <w:br/>
            </w:r>
            <w:r w:rsidRPr="00CA635C">
              <w:rPr>
                <w:b/>
              </w:rPr>
              <w:t>Professional Schools</w:t>
            </w:r>
            <w:r>
              <w:t xml:space="preserve"> </w:t>
            </w:r>
          </w:p>
        </w:tc>
        <w:tc>
          <w:tcPr>
            <w:tcW w:w="2133" w:type="dxa"/>
            <w:shd w:val="clear" w:color="auto" w:fill="auto"/>
          </w:tcPr>
          <w:p w14:paraId="2F49A799" w14:textId="77777777" w:rsidR="001967E0" w:rsidRDefault="001967E0" w:rsidP="00F00868">
            <w:pPr>
              <w:spacing w:after="0"/>
            </w:pPr>
          </w:p>
        </w:tc>
        <w:tc>
          <w:tcPr>
            <w:tcW w:w="2050" w:type="dxa"/>
            <w:shd w:val="clear" w:color="auto" w:fill="auto"/>
          </w:tcPr>
          <w:p w14:paraId="37AF6D8D" w14:textId="77777777" w:rsidR="001967E0" w:rsidRDefault="001967E0" w:rsidP="00F00868">
            <w:pPr>
              <w:spacing w:after="0"/>
            </w:pPr>
          </w:p>
        </w:tc>
        <w:tc>
          <w:tcPr>
            <w:tcW w:w="2135" w:type="dxa"/>
            <w:shd w:val="clear" w:color="auto" w:fill="auto"/>
          </w:tcPr>
          <w:p w14:paraId="600A9350" w14:textId="77777777" w:rsidR="001967E0" w:rsidRDefault="001967E0" w:rsidP="00F00868">
            <w:pPr>
              <w:spacing w:after="0"/>
            </w:pPr>
          </w:p>
        </w:tc>
      </w:tr>
      <w:tr w:rsidR="001967E0" w14:paraId="02A8FC44" w14:textId="77777777" w:rsidTr="001159D0">
        <w:tc>
          <w:tcPr>
            <w:tcW w:w="2410" w:type="dxa"/>
            <w:shd w:val="clear" w:color="auto" w:fill="auto"/>
          </w:tcPr>
          <w:p w14:paraId="06A27A89" w14:textId="77777777" w:rsidR="001967E0" w:rsidRDefault="001967E0" w:rsidP="00F00868">
            <w:pPr>
              <w:spacing w:after="0"/>
            </w:pPr>
            <w:r>
              <w:t xml:space="preserve">Intermediate </w:t>
            </w:r>
          </w:p>
        </w:tc>
        <w:tc>
          <w:tcPr>
            <w:tcW w:w="2133" w:type="dxa"/>
            <w:shd w:val="clear" w:color="auto" w:fill="auto"/>
          </w:tcPr>
          <w:p w14:paraId="22437DE3" w14:textId="77777777" w:rsidR="001967E0" w:rsidRDefault="001967E0" w:rsidP="00F00868">
            <w:pPr>
              <w:spacing w:after="0"/>
            </w:pPr>
            <w:r>
              <w:t>2</w:t>
            </w:r>
          </w:p>
        </w:tc>
        <w:tc>
          <w:tcPr>
            <w:tcW w:w="2050" w:type="dxa"/>
            <w:shd w:val="clear" w:color="auto" w:fill="auto"/>
          </w:tcPr>
          <w:p w14:paraId="12413613" w14:textId="77777777" w:rsidR="001967E0" w:rsidRDefault="001967E0" w:rsidP="00F00868">
            <w:pPr>
              <w:spacing w:after="0"/>
            </w:pPr>
            <w:r>
              <w:t>4</w:t>
            </w:r>
          </w:p>
        </w:tc>
        <w:tc>
          <w:tcPr>
            <w:tcW w:w="2135" w:type="dxa"/>
            <w:shd w:val="clear" w:color="auto" w:fill="auto"/>
          </w:tcPr>
          <w:p w14:paraId="6AC42AC0" w14:textId="77777777" w:rsidR="001967E0" w:rsidRDefault="001967E0" w:rsidP="00F00868">
            <w:pPr>
              <w:spacing w:after="0"/>
            </w:pPr>
          </w:p>
        </w:tc>
      </w:tr>
      <w:tr w:rsidR="001967E0" w14:paraId="7848904A" w14:textId="77777777" w:rsidTr="001159D0">
        <w:tc>
          <w:tcPr>
            <w:tcW w:w="2410" w:type="dxa"/>
            <w:shd w:val="clear" w:color="auto" w:fill="auto"/>
          </w:tcPr>
          <w:p w14:paraId="27E28190" w14:textId="77777777" w:rsidR="001967E0" w:rsidRDefault="001967E0" w:rsidP="00F00868">
            <w:pPr>
              <w:spacing w:after="0"/>
            </w:pPr>
            <w:r>
              <w:t xml:space="preserve">Advanced </w:t>
            </w:r>
          </w:p>
        </w:tc>
        <w:tc>
          <w:tcPr>
            <w:tcW w:w="2133" w:type="dxa"/>
            <w:shd w:val="clear" w:color="auto" w:fill="auto"/>
          </w:tcPr>
          <w:p w14:paraId="37914862" w14:textId="026F4EB3" w:rsidR="001967E0" w:rsidRDefault="00C9175E" w:rsidP="00F00868">
            <w:pPr>
              <w:spacing w:after="0"/>
            </w:pPr>
            <w:r>
              <w:t>8</w:t>
            </w:r>
          </w:p>
        </w:tc>
        <w:tc>
          <w:tcPr>
            <w:tcW w:w="2050" w:type="dxa"/>
            <w:shd w:val="clear" w:color="auto" w:fill="auto"/>
          </w:tcPr>
          <w:p w14:paraId="5B92A4A0" w14:textId="1B7C4E49" w:rsidR="001967E0" w:rsidRDefault="001967E0" w:rsidP="00F00868">
            <w:pPr>
              <w:spacing w:after="0"/>
            </w:pPr>
            <w:r>
              <w:t>1</w:t>
            </w:r>
            <w:r w:rsidR="00C9175E">
              <w:t>0</w:t>
            </w:r>
          </w:p>
        </w:tc>
        <w:tc>
          <w:tcPr>
            <w:tcW w:w="2135" w:type="dxa"/>
            <w:shd w:val="clear" w:color="auto" w:fill="auto"/>
          </w:tcPr>
          <w:p w14:paraId="23C283D7" w14:textId="77777777" w:rsidR="001967E0" w:rsidRDefault="001967E0" w:rsidP="00F00868">
            <w:pPr>
              <w:spacing w:after="0"/>
            </w:pPr>
            <w:r>
              <w:t>1</w:t>
            </w:r>
          </w:p>
        </w:tc>
      </w:tr>
      <w:tr w:rsidR="000F00DE" w14:paraId="3ABA9DB1" w14:textId="77777777" w:rsidTr="001159D0">
        <w:tc>
          <w:tcPr>
            <w:tcW w:w="2410" w:type="dxa"/>
            <w:shd w:val="clear" w:color="auto" w:fill="auto"/>
          </w:tcPr>
          <w:p w14:paraId="04D49A14" w14:textId="1500BD06" w:rsidR="000F00DE" w:rsidRDefault="00C9175E" w:rsidP="00F00868">
            <w:pPr>
              <w:spacing w:after="0"/>
            </w:pPr>
            <w:r w:rsidRPr="00FD502B">
              <w:rPr>
                <w:b/>
                <w:bCs/>
              </w:rPr>
              <w:t>2022-2023</w:t>
            </w:r>
            <w:r>
              <w:rPr>
                <w:b/>
                <w:bCs/>
              </w:rPr>
              <w:br/>
              <w:t>Humanities</w:t>
            </w:r>
            <w:r>
              <w:t xml:space="preserve"> </w:t>
            </w:r>
          </w:p>
        </w:tc>
        <w:tc>
          <w:tcPr>
            <w:tcW w:w="2133" w:type="dxa"/>
            <w:shd w:val="clear" w:color="auto" w:fill="auto"/>
          </w:tcPr>
          <w:p w14:paraId="6B27A471" w14:textId="77777777" w:rsidR="000F00DE" w:rsidRDefault="000F00DE" w:rsidP="00F00868">
            <w:pPr>
              <w:spacing w:after="0"/>
            </w:pPr>
          </w:p>
        </w:tc>
        <w:tc>
          <w:tcPr>
            <w:tcW w:w="2050" w:type="dxa"/>
            <w:shd w:val="clear" w:color="auto" w:fill="auto"/>
          </w:tcPr>
          <w:p w14:paraId="6ADC7634" w14:textId="77777777" w:rsidR="000F00DE" w:rsidRDefault="000F00DE" w:rsidP="00F00868">
            <w:pPr>
              <w:spacing w:after="0"/>
            </w:pPr>
          </w:p>
        </w:tc>
        <w:tc>
          <w:tcPr>
            <w:tcW w:w="2135" w:type="dxa"/>
            <w:shd w:val="clear" w:color="auto" w:fill="auto"/>
          </w:tcPr>
          <w:p w14:paraId="26AFA0DA" w14:textId="77777777" w:rsidR="000F00DE" w:rsidRDefault="000F00DE" w:rsidP="00F00868">
            <w:pPr>
              <w:spacing w:after="0"/>
            </w:pPr>
          </w:p>
        </w:tc>
      </w:tr>
      <w:tr w:rsidR="000F00DE" w14:paraId="58DDD2FF" w14:textId="77777777" w:rsidTr="001159D0">
        <w:tc>
          <w:tcPr>
            <w:tcW w:w="2410" w:type="dxa"/>
            <w:shd w:val="clear" w:color="auto" w:fill="auto"/>
          </w:tcPr>
          <w:p w14:paraId="0B51BD95" w14:textId="5D747361" w:rsidR="000F00DE" w:rsidRDefault="000F00DE" w:rsidP="00F00868">
            <w:pPr>
              <w:spacing w:after="0"/>
            </w:pPr>
            <w:r>
              <w:t xml:space="preserve">Intermediate </w:t>
            </w:r>
          </w:p>
        </w:tc>
        <w:tc>
          <w:tcPr>
            <w:tcW w:w="2133" w:type="dxa"/>
            <w:shd w:val="clear" w:color="auto" w:fill="auto"/>
          </w:tcPr>
          <w:p w14:paraId="59E2C6DB" w14:textId="1D7CBC7F" w:rsidR="000F00DE" w:rsidRDefault="00C9175E" w:rsidP="00F00868">
            <w:pPr>
              <w:spacing w:after="0"/>
            </w:pPr>
            <w:r>
              <w:t>4</w:t>
            </w:r>
          </w:p>
        </w:tc>
        <w:tc>
          <w:tcPr>
            <w:tcW w:w="2050" w:type="dxa"/>
            <w:shd w:val="clear" w:color="auto" w:fill="auto"/>
          </w:tcPr>
          <w:p w14:paraId="6BF3B591" w14:textId="5860522A" w:rsidR="000F00DE" w:rsidRDefault="00C9175E" w:rsidP="00F00868">
            <w:pPr>
              <w:spacing w:after="0"/>
            </w:pPr>
            <w:r>
              <w:t>4</w:t>
            </w:r>
          </w:p>
        </w:tc>
        <w:tc>
          <w:tcPr>
            <w:tcW w:w="2135" w:type="dxa"/>
            <w:shd w:val="clear" w:color="auto" w:fill="auto"/>
          </w:tcPr>
          <w:p w14:paraId="7F897F19" w14:textId="77777777" w:rsidR="000F00DE" w:rsidRDefault="000F00DE" w:rsidP="00F00868">
            <w:pPr>
              <w:spacing w:after="0"/>
            </w:pPr>
          </w:p>
        </w:tc>
      </w:tr>
      <w:tr w:rsidR="000F00DE" w14:paraId="0A366F57" w14:textId="77777777" w:rsidTr="001159D0">
        <w:tc>
          <w:tcPr>
            <w:tcW w:w="2410" w:type="dxa"/>
            <w:shd w:val="clear" w:color="auto" w:fill="auto"/>
          </w:tcPr>
          <w:p w14:paraId="40B5950B" w14:textId="193AEBE4" w:rsidR="000F00DE" w:rsidRDefault="000F00DE" w:rsidP="00F00868">
            <w:pPr>
              <w:spacing w:after="0"/>
            </w:pPr>
            <w:r>
              <w:t>Advanced</w:t>
            </w:r>
          </w:p>
        </w:tc>
        <w:tc>
          <w:tcPr>
            <w:tcW w:w="2133" w:type="dxa"/>
            <w:shd w:val="clear" w:color="auto" w:fill="auto"/>
          </w:tcPr>
          <w:p w14:paraId="112394DA" w14:textId="032AD6BD" w:rsidR="000F00DE" w:rsidRDefault="00C9175E" w:rsidP="00F00868">
            <w:pPr>
              <w:spacing w:after="0"/>
            </w:pPr>
            <w:r>
              <w:t>6</w:t>
            </w:r>
          </w:p>
        </w:tc>
        <w:tc>
          <w:tcPr>
            <w:tcW w:w="2050" w:type="dxa"/>
            <w:shd w:val="clear" w:color="auto" w:fill="auto"/>
          </w:tcPr>
          <w:p w14:paraId="1D12181C" w14:textId="55582893" w:rsidR="000F00DE" w:rsidRDefault="00C9175E" w:rsidP="00F00868">
            <w:pPr>
              <w:spacing w:after="0"/>
            </w:pPr>
            <w:r>
              <w:t>3</w:t>
            </w:r>
          </w:p>
        </w:tc>
        <w:tc>
          <w:tcPr>
            <w:tcW w:w="2135" w:type="dxa"/>
            <w:shd w:val="clear" w:color="auto" w:fill="auto"/>
          </w:tcPr>
          <w:p w14:paraId="5A33A464" w14:textId="77777777" w:rsidR="000F00DE" w:rsidRDefault="000F00DE" w:rsidP="00F00868">
            <w:pPr>
              <w:spacing w:after="0"/>
            </w:pPr>
          </w:p>
        </w:tc>
      </w:tr>
    </w:tbl>
    <w:p w14:paraId="73D50AFB" w14:textId="77777777" w:rsidR="001967E0" w:rsidRDefault="001967E0" w:rsidP="001967E0">
      <w:pPr>
        <w:pStyle w:val="ListParagraph"/>
        <w:ind w:left="360"/>
        <w:rPr>
          <w:rFonts w:cstheme="minorHAnsi"/>
          <w:color w:val="4472C4" w:themeColor="accent1"/>
        </w:rPr>
      </w:pPr>
    </w:p>
    <w:p w14:paraId="6688F361" w14:textId="03C1030B" w:rsidR="00C62443" w:rsidRDefault="00C62443" w:rsidP="00C62443"/>
    <w:p w14:paraId="65935331" w14:textId="0F270B66" w:rsidR="00AA480F" w:rsidRDefault="00F27C75" w:rsidP="00F27C75">
      <w:pPr>
        <w:pStyle w:val="Heading2"/>
      </w:pPr>
      <w:r>
        <w:t xml:space="preserve">Writing </w:t>
      </w:r>
      <w:r w:rsidR="00034EED">
        <w:t>Review Issues</w:t>
      </w:r>
    </w:p>
    <w:p w14:paraId="1E9E6DB4" w14:textId="2AB67739" w:rsidR="00034EED" w:rsidRDefault="00AA480F" w:rsidP="00AA480F">
      <w:r>
        <w:t xml:space="preserve">The </w:t>
      </w:r>
      <w:r w:rsidR="00745418">
        <w:t xml:space="preserve">Committee received a troubling response regarding a course renewal and carefully crafted a communication that </w:t>
      </w:r>
      <w:r w:rsidR="00274B17">
        <w:t>led</w:t>
      </w:r>
      <w:r w:rsidR="00745418">
        <w:t xml:space="preserve"> to an adequate revised assessment </w:t>
      </w:r>
      <w:r w:rsidR="00274B17">
        <w:t xml:space="preserve">plan. </w:t>
      </w:r>
    </w:p>
    <w:p w14:paraId="3195789A" w14:textId="333BBC78" w:rsidR="00AA480F" w:rsidRDefault="00AA480F" w:rsidP="00AA480F">
      <w:r>
        <w:t xml:space="preserve">Pending: </w:t>
      </w:r>
      <w:r>
        <w:br/>
        <w:t>The Committee may want to review its questions with a lens toward equality given the standard academic English expectation is very white centric. This could be something to discuss when assessing the review process.</w:t>
      </w:r>
      <w:r>
        <w:br/>
      </w:r>
      <w:r w:rsidRPr="001F6D3B">
        <w:br/>
      </w:r>
      <w:r w:rsidR="007C59DC" w:rsidRPr="001F6D3B">
        <w:rPr>
          <w:rFonts w:ascii="Calibri" w:hAnsi="Calibri" w:cs="Calibri"/>
        </w:rPr>
        <w:t>It may be helpful for a few members to have office hour availability in early September to talk through confusion with faculty submitting forms.</w:t>
      </w:r>
      <w:r w:rsidR="0003024E" w:rsidRPr="001F6D3B">
        <w:rPr>
          <w:rFonts w:ascii="Calibri" w:hAnsi="Calibri" w:cs="Calibri"/>
        </w:rPr>
        <w:t xml:space="preserve"> Or a small workshop could be offered on Zoom and advertised though the Office of Organizational Learning and Development. </w:t>
      </w:r>
    </w:p>
    <w:p w14:paraId="1C6BF0DA" w14:textId="77777777" w:rsidR="00AA480F" w:rsidRDefault="00AA480F" w:rsidP="00AA480F"/>
    <w:p w14:paraId="3A2E183B" w14:textId="77777777" w:rsidR="00F33F73" w:rsidRDefault="00C64A16" w:rsidP="00BE77CB">
      <w:pPr>
        <w:pStyle w:val="Heading2"/>
      </w:pPr>
      <w:r>
        <w:t xml:space="preserve">Intermediate Writing Course </w:t>
      </w:r>
      <w:r w:rsidR="00BE77CB">
        <w:t>Appeals</w:t>
      </w:r>
    </w:p>
    <w:p w14:paraId="6DA125BF" w14:textId="4605A4ED" w:rsidR="005E26D7" w:rsidRPr="00EA2EF1" w:rsidRDefault="00BC19AF" w:rsidP="00A43098">
      <w:pPr>
        <w:numPr>
          <w:ilvl w:val="0"/>
          <w:numId w:val="1"/>
        </w:numPr>
        <w:spacing w:after="0" w:line="240" w:lineRule="auto"/>
        <w:rPr>
          <w:rFonts w:ascii="Calibri" w:hAnsi="Calibri" w:cs="Calibri"/>
        </w:rPr>
      </w:pPr>
      <w:r w:rsidRPr="00EA2EF1">
        <w:rPr>
          <w:rFonts w:eastAsia="Times New Roman" w:cstheme="minorHAnsi"/>
        </w:rPr>
        <w:t xml:space="preserve">The </w:t>
      </w:r>
      <w:r w:rsidR="006F55D6" w:rsidRPr="00EA2EF1">
        <w:rPr>
          <w:rFonts w:eastAsia="Times New Roman" w:cstheme="minorHAnsi"/>
        </w:rPr>
        <w:t xml:space="preserve">Committee considered </w:t>
      </w:r>
      <w:r w:rsidR="00C9175E" w:rsidRPr="00EA2EF1">
        <w:rPr>
          <w:rFonts w:eastAsia="Times New Roman" w:cstheme="minorHAnsi"/>
        </w:rPr>
        <w:t>four</w:t>
      </w:r>
      <w:r w:rsidRPr="00EA2EF1">
        <w:rPr>
          <w:rFonts w:eastAsia="Times New Roman" w:cstheme="minorHAnsi"/>
        </w:rPr>
        <w:t xml:space="preserve"> </w:t>
      </w:r>
      <w:hyperlink r:id="rId6" w:history="1">
        <w:r w:rsidRPr="00EA2EF1">
          <w:rPr>
            <w:rFonts w:eastAsia="Times New Roman" w:cstheme="minorHAnsi"/>
            <w:color w:val="0000FF"/>
            <w:u w:val="single"/>
          </w:rPr>
          <w:t>Intermediate Writing Course Appeals</w:t>
        </w:r>
      </w:hyperlink>
      <w:r w:rsidR="00C9175E" w:rsidRPr="00EA2EF1">
        <w:rPr>
          <w:rFonts w:eastAsia="Times New Roman" w:cstheme="minorHAnsi"/>
          <w:color w:val="0000FF"/>
          <w:u w:val="single"/>
        </w:rPr>
        <w:t xml:space="preserve"> </w:t>
      </w:r>
      <w:r w:rsidR="00C9175E" w:rsidRPr="00EA2EF1">
        <w:rPr>
          <w:rFonts w:eastAsia="Times New Roman" w:cstheme="minorHAnsi"/>
        </w:rPr>
        <w:t>and</w:t>
      </w:r>
      <w:r w:rsidR="002B3DDD" w:rsidRPr="00EA2EF1">
        <w:rPr>
          <w:rFonts w:eastAsia="Times New Roman" w:cstheme="minorHAnsi"/>
        </w:rPr>
        <w:t xml:space="preserve"> </w:t>
      </w:r>
      <w:r w:rsidR="00C9175E" w:rsidRPr="00EA2EF1">
        <w:rPr>
          <w:rFonts w:eastAsia="Times New Roman" w:cstheme="minorHAnsi"/>
        </w:rPr>
        <w:t>four</w:t>
      </w:r>
      <w:r w:rsidR="002B3DDD" w:rsidRPr="00EA2EF1">
        <w:rPr>
          <w:rFonts w:eastAsia="Times New Roman" w:cstheme="minorHAnsi"/>
        </w:rPr>
        <w:t xml:space="preserve"> Advanced Writing Substitution requests</w:t>
      </w:r>
      <w:r w:rsidR="00C9175E" w:rsidRPr="00EA2EF1">
        <w:rPr>
          <w:rFonts w:eastAsia="Times New Roman" w:cstheme="minorHAnsi"/>
        </w:rPr>
        <w:t>, including a request pending from the previous academic year. All but one intermediate writing appeal were approved.</w:t>
      </w:r>
      <w:r w:rsidR="00D3239E" w:rsidRPr="00EA2EF1">
        <w:rPr>
          <w:rFonts w:eastAsia="Times New Roman" w:cstheme="minorHAnsi"/>
        </w:rPr>
        <w:t xml:space="preserve">  </w:t>
      </w:r>
    </w:p>
    <w:p w14:paraId="10B02004" w14:textId="77777777" w:rsidR="00621ABE" w:rsidRPr="00D3239E" w:rsidRDefault="00621ABE" w:rsidP="008771A8">
      <w:pPr>
        <w:spacing w:after="200" w:line="276" w:lineRule="auto"/>
        <w:rPr>
          <w:rFonts w:ascii="Cambria" w:eastAsia="Times New Roman" w:hAnsi="Cambria" w:cs="Times New Roman"/>
        </w:rPr>
      </w:pPr>
    </w:p>
    <w:p w14:paraId="3A46CA22" w14:textId="0CCD64CE" w:rsidR="00FD78A8" w:rsidRDefault="00BE77CB" w:rsidP="00FD78A8">
      <w:pPr>
        <w:rPr>
          <w:rStyle w:val="Heading2Char"/>
        </w:rPr>
      </w:pPr>
      <w:r w:rsidRPr="00BE77CB">
        <w:rPr>
          <w:rStyle w:val="Heading2Char"/>
        </w:rPr>
        <w:lastRenderedPageBreak/>
        <w:t>Policy</w:t>
      </w:r>
      <w:r w:rsidR="00FD78A8">
        <w:rPr>
          <w:rStyle w:val="Heading2Char"/>
        </w:rPr>
        <w:t xml:space="preserve"> Item</w:t>
      </w:r>
      <w:r w:rsidR="00F659D7">
        <w:rPr>
          <w:rStyle w:val="Heading2Char"/>
        </w:rPr>
        <w:t>s</w:t>
      </w:r>
    </w:p>
    <w:p w14:paraId="4B49724E" w14:textId="5BB2FF7D" w:rsidR="00886AC3" w:rsidRDefault="008771A8" w:rsidP="009611D9">
      <w:pPr>
        <w:pStyle w:val="ListParagraph"/>
        <w:numPr>
          <w:ilvl w:val="0"/>
          <w:numId w:val="4"/>
        </w:numPr>
        <w:spacing w:after="0" w:line="240" w:lineRule="auto"/>
        <w:contextualSpacing w:val="0"/>
        <w:rPr>
          <w:rFonts w:eastAsia="Calibri"/>
        </w:rPr>
      </w:pPr>
      <w:r w:rsidRPr="005E26D7">
        <w:rPr>
          <w:rFonts w:eastAsia="Calibri"/>
        </w:rPr>
        <w:t xml:space="preserve">The draft Advanced Writing Distributed Guidelines were discussed at several meetings.  </w:t>
      </w:r>
      <w:r w:rsidR="00274B17">
        <w:rPr>
          <w:rFonts w:eastAsia="Calibri"/>
        </w:rPr>
        <w:t>Several faculty whom teach courses in units with a distributed advanced writing requirement attended the March 27</w:t>
      </w:r>
      <w:r w:rsidR="00274B17" w:rsidRPr="00274B17">
        <w:rPr>
          <w:rFonts w:eastAsia="Calibri"/>
          <w:vertAlign w:val="superscript"/>
        </w:rPr>
        <w:t>th</w:t>
      </w:r>
      <w:r w:rsidR="00274B17">
        <w:rPr>
          <w:rFonts w:eastAsia="Calibri"/>
        </w:rPr>
        <w:t xml:space="preserve"> meeting to discuss how the distributed writing program was working and whether the guidelines were helpful. </w:t>
      </w:r>
      <w:r w:rsidRPr="005E26D7">
        <w:rPr>
          <w:rFonts w:eastAsia="Calibri"/>
        </w:rPr>
        <w:t xml:space="preserve">The final document was approved </w:t>
      </w:r>
      <w:r w:rsidR="00274B17">
        <w:rPr>
          <w:rFonts w:eastAsia="Calibri"/>
        </w:rPr>
        <w:t>after the discussion.</w:t>
      </w:r>
      <w:r w:rsidRPr="005E26D7">
        <w:rPr>
          <w:rFonts w:eastAsia="Calibri"/>
        </w:rPr>
        <w:t xml:space="preserve">  The Guidelines will be posted on the website and linked to the Curriculum Deadline Memo. </w:t>
      </w:r>
      <w:r w:rsidR="00886AC3">
        <w:rPr>
          <w:rFonts w:eastAsia="Calibri"/>
        </w:rPr>
        <w:br/>
      </w:r>
    </w:p>
    <w:p w14:paraId="5FFFE364" w14:textId="257AA1CD" w:rsidR="007C59DC" w:rsidRPr="001F6D3B" w:rsidRDefault="007C59DC" w:rsidP="009611D9">
      <w:pPr>
        <w:pStyle w:val="ListParagraph"/>
        <w:numPr>
          <w:ilvl w:val="0"/>
          <w:numId w:val="4"/>
        </w:numPr>
        <w:spacing w:after="0" w:line="240" w:lineRule="auto"/>
        <w:contextualSpacing w:val="0"/>
        <w:rPr>
          <w:rFonts w:eastAsia="Calibri"/>
        </w:rPr>
      </w:pPr>
      <w:r w:rsidRPr="001F6D3B">
        <w:rPr>
          <w:rFonts w:eastAsia="Calibri"/>
        </w:rPr>
        <w:t xml:space="preserve">After considering the revised </w:t>
      </w:r>
      <w:r w:rsidR="00886AC3" w:rsidRPr="001F6D3B">
        <w:rPr>
          <w:rFonts w:eastAsia="Calibri"/>
        </w:rPr>
        <w:t>Review and Assessment of General Education Courses procedure</w:t>
      </w:r>
      <w:r w:rsidRPr="001F6D3B">
        <w:rPr>
          <w:rFonts w:eastAsia="Calibri"/>
        </w:rPr>
        <w:t xml:space="preserve"> the Committee decided to update the Writing Course Review procedure with the same language (below)</w:t>
      </w:r>
      <w:r w:rsidR="00886AC3" w:rsidRPr="001F6D3B">
        <w:rPr>
          <w:rFonts w:eastAsia="Calibri"/>
        </w:rPr>
        <w:t xml:space="preserve">. </w:t>
      </w:r>
      <w:r w:rsidRPr="001F6D3B">
        <w:rPr>
          <w:rFonts w:eastAsia="Calibri"/>
        </w:rPr>
        <w:t>This revised procedure will be considered next academic year. (4/24/23)</w:t>
      </w:r>
    </w:p>
    <w:p w14:paraId="3EA0E0B1" w14:textId="12B3BAA9" w:rsidR="008771A8" w:rsidRPr="007C59DC" w:rsidRDefault="00886AC3" w:rsidP="007C59DC">
      <w:pPr>
        <w:spacing w:after="0" w:line="240" w:lineRule="auto"/>
        <w:ind w:left="720"/>
        <w:rPr>
          <w:rFonts w:eastAsia="Calibri"/>
        </w:rPr>
      </w:pPr>
      <w:r w:rsidRPr="001F6D3B">
        <w:rPr>
          <w:rFonts w:eastAsia="Calibri"/>
        </w:rPr>
        <w:br/>
      </w:r>
      <w:r w:rsidRPr="001F6D3B">
        <w:rPr>
          <w:rFonts w:cstheme="minorHAnsi"/>
          <w:shd w:val="clear" w:color="auto" w:fill="FFFFFF"/>
        </w:rPr>
        <w:t>In the event that sufficient communication with the professor has not produced adequate assessment information to give the course full approval (evidence that the course is meeting the learning outcomes), the matter will be referred to the Vice Provost for Academic Affairs and the appropriate dean.</w:t>
      </w:r>
      <w:r w:rsidR="006C0C95" w:rsidRPr="007C59DC">
        <w:rPr>
          <w:rFonts w:eastAsia="Calibri"/>
        </w:rPr>
        <w:br/>
      </w:r>
    </w:p>
    <w:p w14:paraId="6D941D10" w14:textId="4D4EA9AB" w:rsidR="00F659D7" w:rsidRDefault="00750B2C" w:rsidP="00765081">
      <w:pPr>
        <w:pStyle w:val="Heading2"/>
      </w:pPr>
      <w:r>
        <w:t>Other Business Items</w:t>
      </w:r>
    </w:p>
    <w:p w14:paraId="3EFABC64" w14:textId="77777777" w:rsidR="00750B2C" w:rsidRDefault="00750B2C" w:rsidP="00750B2C">
      <w:pPr>
        <w:spacing w:after="0" w:line="240" w:lineRule="auto"/>
        <w:ind w:left="720"/>
        <w:textAlignment w:val="baseline"/>
        <w:rPr>
          <w:rFonts w:ascii="Calibri" w:hAnsi="Calibri" w:cs="Calibri"/>
        </w:rPr>
      </w:pPr>
    </w:p>
    <w:p w14:paraId="065D43B5" w14:textId="58E4D5E1" w:rsidR="00765081" w:rsidRDefault="00886AC3" w:rsidP="002C4E7B">
      <w:pPr>
        <w:pStyle w:val="ListParagraph"/>
        <w:numPr>
          <w:ilvl w:val="0"/>
          <w:numId w:val="1"/>
        </w:numPr>
        <w:spacing w:after="0" w:line="240" w:lineRule="auto"/>
        <w:contextualSpacing w:val="0"/>
      </w:pPr>
      <w:r w:rsidRPr="00886AC3">
        <w:rPr>
          <w:shd w:val="clear" w:color="auto" w:fill="FFFFFF"/>
        </w:rPr>
        <w:t>Chair Dougherty-McMichael met with Violet Hopkins and Brigitta Lee regarding admissions evaluating transfer courses to</w:t>
      </w:r>
      <w:r>
        <w:t xml:space="preserve"> satisfy introductory and intermediate writing. The Writing Committee developed a checklist for Introductory and Intermediate Writing Courses to help evaluators assess if courses meet the requirements for those courses. Typically a syllabus is needed to determine equivalency. Brigitta has reported that it has been a useful tool and Chair Dougherty-McMichael will be meeting with new evaluators at the end of the semester to review the checklist. The checklist has also been shared with Brian French and Nathan Domitrovich to help support advisors as they are working with transfer students. Chair Dougherty-McMichael will also be meeting with advisors at the end of the semester to discuss the checklist. The checklist could potentially be posted to the website for transparency. </w:t>
      </w:r>
      <w:r w:rsidR="00621ABE">
        <w:t xml:space="preserve">and intermediate writing.  Typically a syllabus is needed to determine equivalency.  The </w:t>
      </w:r>
      <w:hyperlink r:id="rId7" w:history="1">
        <w:r w:rsidR="00621ABE" w:rsidRPr="00886AC3">
          <w:rPr>
            <w:rStyle w:val="Hyperlink"/>
          </w:rPr>
          <w:t>checklist</w:t>
        </w:r>
      </w:hyperlink>
      <w:r w:rsidR="00621ABE">
        <w:t xml:space="preserve"> could potentially be posted to the website for transparency.</w:t>
      </w:r>
      <w:r w:rsidR="002C3A29">
        <w:t xml:space="preserve"> </w:t>
      </w:r>
      <w:r>
        <w:br/>
      </w:r>
    </w:p>
    <w:p w14:paraId="5DCD1C2E" w14:textId="7EAC4515" w:rsidR="00D3239E" w:rsidRPr="00FD78A8" w:rsidRDefault="00241F90" w:rsidP="002C3A29">
      <w:pPr>
        <w:pStyle w:val="Heading2"/>
        <w:rPr>
          <w:rFonts w:eastAsia="Times New Roman" w:cstheme="minorHAnsi"/>
        </w:rPr>
      </w:pPr>
      <w:r>
        <w:t xml:space="preserve">Communication Items: </w:t>
      </w:r>
    </w:p>
    <w:p w14:paraId="515CE537" w14:textId="44D1C8AB" w:rsidR="00241F90" w:rsidRDefault="00C64A16" w:rsidP="002C3A29">
      <w:pPr>
        <w:numPr>
          <w:ilvl w:val="0"/>
          <w:numId w:val="1"/>
        </w:numPr>
        <w:spacing w:after="200" w:line="276" w:lineRule="auto"/>
        <w:rPr>
          <w:rFonts w:eastAsia="Times New Roman" w:cstheme="minorHAnsi"/>
        </w:rPr>
      </w:pPr>
      <w:r w:rsidRPr="00FD78A8">
        <w:rPr>
          <w:rFonts w:eastAsia="Times New Roman" w:cstheme="minorHAnsi"/>
        </w:rPr>
        <w:t xml:space="preserve">The </w:t>
      </w:r>
      <w:r w:rsidR="00241F90" w:rsidRPr="00FD78A8">
        <w:rPr>
          <w:rFonts w:eastAsia="Times New Roman" w:cstheme="minorHAnsi"/>
        </w:rPr>
        <w:t xml:space="preserve"> </w:t>
      </w:r>
      <w:hyperlink r:id="rId8" w:history="1">
        <w:r w:rsidR="00241F90" w:rsidRPr="00FD78A8">
          <w:rPr>
            <w:rFonts w:eastAsia="Times New Roman" w:cstheme="minorHAnsi"/>
            <w:u w:val="single"/>
          </w:rPr>
          <w:t>UPWA Report</w:t>
        </w:r>
      </w:hyperlink>
      <w:r w:rsidR="00241F90" w:rsidRPr="00FD78A8">
        <w:rPr>
          <w:rFonts w:eastAsia="Times New Roman" w:cstheme="minorHAnsi"/>
        </w:rPr>
        <w:t xml:space="preserve"> </w:t>
      </w:r>
      <w:r w:rsidR="00057A13">
        <w:rPr>
          <w:rFonts w:eastAsia="Times New Roman" w:cstheme="minorHAnsi"/>
        </w:rPr>
        <w:t>and survey data was shared with t</w:t>
      </w:r>
      <w:r w:rsidRPr="00FD78A8">
        <w:rPr>
          <w:rFonts w:eastAsia="Times New Roman" w:cstheme="minorHAnsi"/>
        </w:rPr>
        <w:t>he committee and Director Ratto-Parks provided highlights</w:t>
      </w:r>
      <w:r w:rsidR="001F4F9B">
        <w:rPr>
          <w:rFonts w:eastAsia="Times New Roman" w:cstheme="minorHAnsi"/>
        </w:rPr>
        <w:t xml:space="preserve"> at the </w:t>
      </w:r>
      <w:r w:rsidR="00E70E05">
        <w:rPr>
          <w:rFonts w:eastAsia="Times New Roman" w:cstheme="minorHAnsi"/>
        </w:rPr>
        <w:t>9</w:t>
      </w:r>
      <w:r w:rsidR="001F4F9B">
        <w:rPr>
          <w:rFonts w:eastAsia="Times New Roman" w:cstheme="minorHAnsi"/>
        </w:rPr>
        <w:t>/1</w:t>
      </w:r>
      <w:r w:rsidR="00D3239E">
        <w:rPr>
          <w:rFonts w:eastAsia="Times New Roman" w:cstheme="minorHAnsi"/>
        </w:rPr>
        <w:t>2</w:t>
      </w:r>
      <w:r w:rsidR="001F4F9B">
        <w:rPr>
          <w:rFonts w:eastAsia="Times New Roman" w:cstheme="minorHAnsi"/>
        </w:rPr>
        <w:t>/2</w:t>
      </w:r>
      <w:r w:rsidR="00D3239E">
        <w:rPr>
          <w:rFonts w:eastAsia="Times New Roman" w:cstheme="minorHAnsi"/>
        </w:rPr>
        <w:t>2</w:t>
      </w:r>
      <w:r w:rsidR="001F4F9B">
        <w:rPr>
          <w:rFonts w:eastAsia="Times New Roman" w:cstheme="minorHAnsi"/>
        </w:rPr>
        <w:t xml:space="preserve"> meeting</w:t>
      </w:r>
      <w:r w:rsidRPr="00FD78A8">
        <w:rPr>
          <w:rFonts w:eastAsia="Times New Roman" w:cstheme="minorHAnsi"/>
        </w:rPr>
        <w:t xml:space="preserve">. </w:t>
      </w:r>
      <w:r w:rsidR="00064B31">
        <w:rPr>
          <w:rFonts w:eastAsia="Times New Roman" w:cstheme="minorHAnsi"/>
        </w:rPr>
        <w:t xml:space="preserve"> </w:t>
      </w:r>
    </w:p>
    <w:p w14:paraId="7A5DA554" w14:textId="31C8C31F" w:rsidR="00D3239E" w:rsidRDefault="00D3239E" w:rsidP="002C3A29">
      <w:pPr>
        <w:numPr>
          <w:ilvl w:val="0"/>
          <w:numId w:val="1"/>
        </w:numPr>
        <w:spacing w:after="200" w:line="276" w:lineRule="auto"/>
        <w:rPr>
          <w:rFonts w:eastAsia="Times New Roman" w:cstheme="minorHAnsi"/>
        </w:rPr>
      </w:pPr>
      <w:r w:rsidRPr="00FD78A8">
        <w:rPr>
          <w:rFonts w:eastAsia="Times New Roman" w:cstheme="minorHAnsi"/>
        </w:rPr>
        <w:t xml:space="preserve">The Writing Center </w:t>
      </w:r>
      <w:r w:rsidRPr="008771A8">
        <w:rPr>
          <w:rFonts w:eastAsia="Times New Roman" w:cstheme="minorHAnsi"/>
        </w:rPr>
        <w:t>annual report</w:t>
      </w:r>
      <w:r w:rsidR="008771A8">
        <w:rPr>
          <w:rFonts w:eastAsia="Times New Roman" w:cstheme="minorHAnsi"/>
        </w:rPr>
        <w:t xml:space="preserve"> (</w:t>
      </w:r>
      <w:proofErr w:type="spellStart"/>
      <w:r w:rsidR="00C12799">
        <w:fldChar w:fldCharType="begin"/>
      </w:r>
      <w:r w:rsidR="00C12799">
        <w:instrText xml:space="preserve"> HYPERLINK "https://umt.box.com/s/a4ujade7jtnzx5yrrguh8jsme360y1im" </w:instrText>
      </w:r>
      <w:r w:rsidR="00C12799">
        <w:fldChar w:fldCharType="separate"/>
      </w:r>
      <w:r w:rsidR="008771A8" w:rsidRPr="006A3949">
        <w:rPr>
          <w:rStyle w:val="Hyperlink"/>
        </w:rPr>
        <w:t>pg</w:t>
      </w:r>
      <w:proofErr w:type="spellEnd"/>
      <w:r w:rsidR="008771A8" w:rsidRPr="006A3949">
        <w:rPr>
          <w:rStyle w:val="Hyperlink"/>
        </w:rPr>
        <w:t xml:space="preserve"> 1</w:t>
      </w:r>
      <w:r w:rsidR="00C12799">
        <w:rPr>
          <w:rStyle w:val="Hyperlink"/>
        </w:rPr>
        <w:fldChar w:fldCharType="end"/>
      </w:r>
      <w:r w:rsidR="008771A8">
        <w:t xml:space="preserve">, </w:t>
      </w:r>
      <w:hyperlink r:id="rId9" w:history="1">
        <w:proofErr w:type="spellStart"/>
        <w:r w:rsidR="008771A8" w:rsidRPr="006A3949">
          <w:rPr>
            <w:rStyle w:val="Hyperlink"/>
          </w:rPr>
          <w:t>pg</w:t>
        </w:r>
        <w:proofErr w:type="spellEnd"/>
        <w:r w:rsidR="008771A8" w:rsidRPr="006A3949">
          <w:rPr>
            <w:rStyle w:val="Hyperlink"/>
          </w:rPr>
          <w:t xml:space="preserve"> 2</w:t>
        </w:r>
      </w:hyperlink>
      <w:r w:rsidR="008771A8">
        <w:t>)</w:t>
      </w:r>
      <w:r w:rsidRPr="00FD78A8">
        <w:rPr>
          <w:rFonts w:eastAsia="Times New Roman" w:cstheme="minorHAnsi"/>
        </w:rPr>
        <w:t xml:space="preserve"> was shared with the committee and Director Grogan provided an overview</w:t>
      </w:r>
      <w:r>
        <w:rPr>
          <w:rFonts w:eastAsia="Times New Roman" w:cstheme="minorHAnsi"/>
        </w:rPr>
        <w:t xml:space="preserve"> at the 9/</w:t>
      </w:r>
      <w:r w:rsidR="008771A8">
        <w:rPr>
          <w:rFonts w:eastAsia="Times New Roman" w:cstheme="minorHAnsi"/>
        </w:rPr>
        <w:t>26</w:t>
      </w:r>
      <w:r>
        <w:rPr>
          <w:rFonts w:eastAsia="Times New Roman" w:cstheme="minorHAnsi"/>
        </w:rPr>
        <w:t>/2</w:t>
      </w:r>
      <w:r w:rsidR="008771A8">
        <w:rPr>
          <w:rFonts w:eastAsia="Times New Roman" w:cstheme="minorHAnsi"/>
        </w:rPr>
        <w:t>2</w:t>
      </w:r>
      <w:r>
        <w:rPr>
          <w:rFonts w:eastAsia="Times New Roman" w:cstheme="minorHAnsi"/>
        </w:rPr>
        <w:t xml:space="preserve"> meeting</w:t>
      </w:r>
      <w:r w:rsidRPr="00FD78A8">
        <w:rPr>
          <w:rFonts w:eastAsia="Times New Roman" w:cstheme="minorHAnsi"/>
        </w:rPr>
        <w:t xml:space="preserve">.  </w:t>
      </w:r>
    </w:p>
    <w:p w14:paraId="51A7DA1B" w14:textId="08FD8EC9" w:rsidR="00AA480F" w:rsidRPr="007E21CE" w:rsidRDefault="00AA480F" w:rsidP="002C3A29">
      <w:pPr>
        <w:numPr>
          <w:ilvl w:val="0"/>
          <w:numId w:val="1"/>
        </w:numPr>
        <w:spacing w:after="200" w:line="276" w:lineRule="auto"/>
      </w:pPr>
      <w:r>
        <w:t xml:space="preserve">Amy </w:t>
      </w:r>
      <w:r w:rsidR="009B05DA">
        <w:t>looked into</w:t>
      </w:r>
      <w:r>
        <w:t xml:space="preserve"> moving the Writing Placement to Ed Ready to be parallel to the math placement.  </w:t>
      </w:r>
      <w:r w:rsidR="009B05DA" w:rsidRPr="009B05DA">
        <w:t xml:space="preserve">After conducting a pilot of the </w:t>
      </w:r>
      <w:proofErr w:type="spellStart"/>
      <w:r w:rsidR="009B05DA" w:rsidRPr="009B05DA">
        <w:t>EdReady</w:t>
      </w:r>
      <w:proofErr w:type="spellEnd"/>
      <w:r w:rsidR="009B05DA" w:rsidRPr="009B05DA">
        <w:t xml:space="preserve"> English assessment, she and other placement stakeholders decided that our current in-house process is a more effective assessment that allows us to interact with incoming and continuing students through an organic process.   </w:t>
      </w:r>
    </w:p>
    <w:p w14:paraId="3F9670EB" w14:textId="67639F87" w:rsidR="00AA480F" w:rsidRDefault="00AA480F" w:rsidP="002C3A29">
      <w:pPr>
        <w:numPr>
          <w:ilvl w:val="0"/>
          <w:numId w:val="1"/>
        </w:numPr>
        <w:spacing w:after="0" w:line="276" w:lineRule="auto"/>
        <w:rPr>
          <w:rFonts w:ascii="Calibri" w:hAnsi="Calibri" w:cs="Calibri"/>
        </w:rPr>
      </w:pPr>
      <w:r>
        <w:rPr>
          <w:rFonts w:ascii="Calibri" w:hAnsi="Calibri" w:cs="Calibri"/>
        </w:rPr>
        <w:t xml:space="preserve">ECOS </w:t>
      </w:r>
      <w:r w:rsidR="002C3A29">
        <w:rPr>
          <w:rFonts w:ascii="Calibri" w:hAnsi="Calibri" w:cs="Calibri"/>
        </w:rPr>
        <w:t xml:space="preserve">discussed whether </w:t>
      </w:r>
      <w:r>
        <w:rPr>
          <w:rFonts w:ascii="Calibri" w:hAnsi="Calibri" w:cs="Calibri"/>
        </w:rPr>
        <w:t>ex-officio writing committee members c</w:t>
      </w:r>
      <w:r w:rsidR="002C3A29">
        <w:rPr>
          <w:rFonts w:ascii="Calibri" w:hAnsi="Calibri" w:cs="Calibri"/>
        </w:rPr>
        <w:t xml:space="preserve">ould chair Faculty Senate committees agreed that they could if </w:t>
      </w:r>
      <w:r>
        <w:rPr>
          <w:rFonts w:ascii="Calibri" w:hAnsi="Calibri" w:cs="Calibri"/>
        </w:rPr>
        <w:t xml:space="preserve">they are willing.  The Committee discussed the chair role and the importance of having a tenure-track or tenured faculty member given the potential for difficult </w:t>
      </w:r>
      <w:r>
        <w:rPr>
          <w:rFonts w:ascii="Calibri" w:hAnsi="Calibri" w:cs="Calibri"/>
        </w:rPr>
        <w:lastRenderedPageBreak/>
        <w:t xml:space="preserve">communications and power dynamics. </w:t>
      </w:r>
      <w:r w:rsidR="002C3A29">
        <w:rPr>
          <w:rFonts w:ascii="Calibri" w:hAnsi="Calibri" w:cs="Calibri"/>
        </w:rPr>
        <w:br/>
      </w:r>
    </w:p>
    <w:p w14:paraId="3D03AE0C" w14:textId="1591216E" w:rsidR="00AA480F" w:rsidRPr="00C100F0" w:rsidRDefault="00AA480F" w:rsidP="002C3A29">
      <w:pPr>
        <w:numPr>
          <w:ilvl w:val="0"/>
          <w:numId w:val="1"/>
        </w:numPr>
        <w:spacing w:after="0" w:line="276" w:lineRule="auto"/>
        <w:rPr>
          <w:rFonts w:ascii="Calibri" w:hAnsi="Calibri" w:cs="Calibri"/>
        </w:rPr>
      </w:pPr>
      <w:r>
        <w:rPr>
          <w:rFonts w:ascii="Calibri" w:hAnsi="Calibri" w:cs="Calibri"/>
        </w:rPr>
        <w:t xml:space="preserve">Claudine Cellier, Accreditation Liaison Officer </w:t>
      </w:r>
      <w:r w:rsidR="002C3A29">
        <w:rPr>
          <w:rFonts w:ascii="Calibri" w:hAnsi="Calibri" w:cs="Calibri"/>
        </w:rPr>
        <w:t xml:space="preserve">attended a few meetings to learn more about how the writing program is being assessed. She will be preparing the year 7 accreditation report in one year. </w:t>
      </w:r>
    </w:p>
    <w:p w14:paraId="7DF240AB" w14:textId="5800E468" w:rsidR="00AA480F" w:rsidRDefault="00AA480F" w:rsidP="00AA480F">
      <w:pPr>
        <w:spacing w:after="200" w:line="276" w:lineRule="auto"/>
        <w:rPr>
          <w:rFonts w:eastAsia="Times New Roman" w:cstheme="minorHAnsi"/>
        </w:rPr>
      </w:pPr>
    </w:p>
    <w:p w14:paraId="5174C986" w14:textId="0864074E" w:rsidR="0003024E" w:rsidRPr="0003024E" w:rsidRDefault="006C0C95" w:rsidP="0003024E">
      <w:pPr>
        <w:pStyle w:val="ListParagraph"/>
        <w:numPr>
          <w:ilvl w:val="0"/>
          <w:numId w:val="17"/>
        </w:numPr>
        <w:rPr>
          <w:b/>
          <w:bCs/>
          <w:sz w:val="24"/>
          <w:szCs w:val="24"/>
        </w:rPr>
      </w:pPr>
      <w:r w:rsidRPr="002C3A29">
        <w:rPr>
          <w:rFonts w:ascii="Calibri" w:hAnsi="Calibri" w:cs="Calibri"/>
        </w:rPr>
        <w:t xml:space="preserve">The Writing Committee was informed of the possibility </w:t>
      </w:r>
      <w:r w:rsidR="002C3A29">
        <w:rPr>
          <w:rFonts w:ascii="Calibri" w:hAnsi="Calibri" w:cs="Calibri"/>
        </w:rPr>
        <w:t xml:space="preserve">that </w:t>
      </w:r>
      <w:r w:rsidRPr="002C3A29">
        <w:rPr>
          <w:rFonts w:ascii="Calibri" w:hAnsi="Calibri" w:cs="Calibri"/>
        </w:rPr>
        <w:t xml:space="preserve">UM </w:t>
      </w:r>
      <w:r w:rsidR="002C3A29">
        <w:rPr>
          <w:rFonts w:ascii="Calibri" w:hAnsi="Calibri" w:cs="Calibri"/>
        </w:rPr>
        <w:t>could become an</w:t>
      </w:r>
      <w:r w:rsidRPr="002C3A29">
        <w:rPr>
          <w:rFonts w:ascii="Calibri" w:hAnsi="Calibri" w:cs="Calibri"/>
        </w:rPr>
        <w:t xml:space="preserve"> </w:t>
      </w:r>
      <w:hyperlink r:id="rId10" w:history="1">
        <w:r w:rsidRPr="002C3A29">
          <w:rPr>
            <w:rStyle w:val="Hyperlink"/>
            <w:rFonts w:ascii="Calibri" w:hAnsi="Calibri" w:cs="Calibri"/>
          </w:rPr>
          <w:t>Interstate passport</w:t>
        </w:r>
      </w:hyperlink>
      <w:r w:rsidRPr="002C3A29">
        <w:rPr>
          <w:rFonts w:ascii="Calibri" w:hAnsi="Calibri" w:cs="Calibri"/>
        </w:rPr>
        <w:t xml:space="preserve"> </w:t>
      </w:r>
      <w:r w:rsidR="002C3A29">
        <w:rPr>
          <w:rFonts w:ascii="Calibri" w:hAnsi="Calibri" w:cs="Calibri"/>
        </w:rPr>
        <w:t>institution at the 2/27/23 meeting</w:t>
      </w:r>
      <w:r w:rsidRPr="002C3A29">
        <w:rPr>
          <w:rFonts w:ascii="Calibri" w:hAnsi="Calibri" w:cs="Calibri"/>
        </w:rPr>
        <w:t>.  This would require UM to map general education learning outcomes</w:t>
      </w:r>
      <w:r w:rsidR="002C3A29">
        <w:rPr>
          <w:rFonts w:ascii="Calibri" w:hAnsi="Calibri" w:cs="Calibri"/>
        </w:rPr>
        <w:t>, including writing,</w:t>
      </w:r>
      <w:r w:rsidRPr="002C3A29">
        <w:rPr>
          <w:rFonts w:ascii="Calibri" w:hAnsi="Calibri" w:cs="Calibri"/>
        </w:rPr>
        <w:t xml:space="preserve"> to the Interstate Passport learning outcomes in order to identify the courses or experiences at UM that would be included in the block transfer program.  </w:t>
      </w:r>
      <w:r w:rsidR="0003024E">
        <w:rPr>
          <w:rFonts w:ascii="Calibri" w:hAnsi="Calibri" w:cs="Calibri"/>
        </w:rPr>
        <w:br/>
      </w:r>
    </w:p>
    <w:p w14:paraId="325365B9" w14:textId="6FB29ABA" w:rsidR="0003024E" w:rsidRPr="0003024E" w:rsidRDefault="0003024E" w:rsidP="0003024E">
      <w:pPr>
        <w:pStyle w:val="ListParagraph"/>
        <w:numPr>
          <w:ilvl w:val="0"/>
          <w:numId w:val="17"/>
        </w:numPr>
        <w:rPr>
          <w:b/>
          <w:bCs/>
          <w:sz w:val="24"/>
          <w:szCs w:val="24"/>
        </w:rPr>
      </w:pPr>
      <w:r>
        <w:t>The guests invited to the March 27</w:t>
      </w:r>
      <w:r w:rsidRPr="00EA2EF1">
        <w:rPr>
          <w:vertAlign w:val="superscript"/>
        </w:rPr>
        <w:t>th</w:t>
      </w:r>
      <w:r>
        <w:t xml:space="preserve"> meeting  noted that faculty are also curious how to respond to students’ use of </w:t>
      </w:r>
      <w:proofErr w:type="spellStart"/>
      <w:r>
        <w:t>ChatGPT</w:t>
      </w:r>
      <w:proofErr w:type="spellEnd"/>
      <w:r>
        <w:t xml:space="preserve">.  The Committee was informed that the Writing Center is planning to offer an event by the end of the semester. Anecdotally students are using </w:t>
      </w:r>
      <w:proofErr w:type="spellStart"/>
      <w:r>
        <w:t>ChatGPT</w:t>
      </w:r>
      <w:proofErr w:type="spellEnd"/>
      <w:r>
        <w:t xml:space="preserve"> when they perceive instructors are not reading their work.  One suggestion is to require students to  provide ungraded reflective work that explains how they incorporated </w:t>
      </w:r>
      <w:proofErr w:type="spellStart"/>
      <w:r>
        <w:t>ChatGPT</w:t>
      </w:r>
      <w:proofErr w:type="spellEnd"/>
      <w:r>
        <w:t xml:space="preserve"> into their work. What is their thinking behind the writing? Using AI should not automatically be linked to cheating.  </w:t>
      </w:r>
      <w:r>
        <w:br/>
      </w:r>
    </w:p>
    <w:p w14:paraId="6B2A1BC9" w14:textId="509259BF" w:rsidR="002C3A29" w:rsidRPr="0003024E" w:rsidRDefault="0003024E" w:rsidP="00E05320">
      <w:pPr>
        <w:pStyle w:val="ListParagraph"/>
        <w:numPr>
          <w:ilvl w:val="0"/>
          <w:numId w:val="17"/>
        </w:numPr>
        <w:spacing w:after="200" w:line="276" w:lineRule="auto"/>
        <w:rPr>
          <w:rFonts w:asciiTheme="majorHAnsi" w:eastAsiaTheme="majorEastAsia" w:hAnsiTheme="majorHAnsi" w:cstheme="majorBidi"/>
          <w:b/>
          <w:bCs/>
          <w:color w:val="4472C4" w:themeColor="accent1"/>
        </w:rPr>
      </w:pPr>
      <w:r w:rsidRPr="001F6D3B">
        <w:t xml:space="preserve">The Writing Center hosted a </w:t>
      </w:r>
      <w:proofErr w:type="spellStart"/>
      <w:r w:rsidRPr="001F6D3B">
        <w:t>ChatGPT</w:t>
      </w:r>
      <w:proofErr w:type="spellEnd"/>
      <w:r w:rsidRPr="001F6D3B">
        <w:t xml:space="preserve"> @ UM conversation on Tuesday, May 9th</w:t>
      </w:r>
      <w:r w:rsidRPr="0003024E">
        <w:rPr>
          <w:rFonts w:asciiTheme="majorHAnsi" w:eastAsiaTheme="majorEastAsia" w:hAnsiTheme="majorHAnsi" w:cstheme="majorBidi"/>
          <w:b/>
          <w:bCs/>
          <w:color w:val="4472C4" w:themeColor="accent1"/>
        </w:rPr>
        <w:br/>
      </w:r>
    </w:p>
    <w:p w14:paraId="58687FCB" w14:textId="1BCD9116" w:rsidR="00621ABE" w:rsidRDefault="007C2818" w:rsidP="002C3A29">
      <w:pPr>
        <w:spacing w:after="200" w:line="276" w:lineRule="auto"/>
        <w:rPr>
          <w:rStyle w:val="Heading3Char"/>
        </w:rPr>
      </w:pPr>
      <w:r>
        <w:rPr>
          <w:rStyle w:val="Heading3Char"/>
        </w:rPr>
        <w:t xml:space="preserve">Writing </w:t>
      </w:r>
      <w:r w:rsidR="00034EED" w:rsidRPr="007C1AC0">
        <w:rPr>
          <w:rStyle w:val="Heading3Char"/>
        </w:rPr>
        <w:t xml:space="preserve">Symposium </w:t>
      </w:r>
      <w:r w:rsidR="005E26D7">
        <w:rPr>
          <w:rStyle w:val="Heading3Char"/>
        </w:rPr>
        <w:t>and UPWA W</w:t>
      </w:r>
      <w:r w:rsidR="002C3A29">
        <w:rPr>
          <w:rStyle w:val="Heading3Char"/>
        </w:rPr>
        <w:t>orkshop</w:t>
      </w:r>
    </w:p>
    <w:p w14:paraId="5084FB31" w14:textId="4C7A1A96" w:rsidR="00621ABE" w:rsidRDefault="00621ABE" w:rsidP="002C3A29">
      <w:pPr>
        <w:pStyle w:val="ListParagraph"/>
        <w:numPr>
          <w:ilvl w:val="0"/>
          <w:numId w:val="1"/>
        </w:numPr>
        <w:spacing w:after="0" w:line="240" w:lineRule="auto"/>
        <w:contextualSpacing w:val="0"/>
      </w:pPr>
      <w:r>
        <w:t xml:space="preserve">The UPWA symposium </w:t>
      </w:r>
      <w:r w:rsidR="00D9396C">
        <w:t xml:space="preserve">on Introductions, Conclusions and Transitions </w:t>
      </w:r>
      <w:r w:rsidR="005E26D7">
        <w:t>was</w:t>
      </w:r>
      <w:r>
        <w:t xml:space="preserve"> held November 4</w:t>
      </w:r>
      <w:r w:rsidRPr="00732535">
        <w:rPr>
          <w:vertAlign w:val="superscript"/>
        </w:rPr>
        <w:t>th</w:t>
      </w:r>
      <w:r>
        <w:t xml:space="preserve"> at noon.  </w:t>
      </w:r>
      <w:r w:rsidR="00AA480F">
        <w:t>There were 11 attendees including several from Career Services.  The conversation was constructive and Amy received positive feedback.</w:t>
      </w:r>
    </w:p>
    <w:p w14:paraId="3A57AC97" w14:textId="4DCF80F1" w:rsidR="00621ABE" w:rsidRDefault="00621ABE" w:rsidP="002C3A29">
      <w:pPr>
        <w:rPr>
          <w:b/>
          <w:bCs/>
          <w:sz w:val="24"/>
          <w:szCs w:val="24"/>
        </w:rPr>
      </w:pPr>
    </w:p>
    <w:p w14:paraId="281E0E87" w14:textId="77990E73" w:rsidR="00C12799" w:rsidRPr="00886AC3" w:rsidRDefault="005E26D7" w:rsidP="00710F6F">
      <w:pPr>
        <w:pStyle w:val="ListParagraph"/>
        <w:numPr>
          <w:ilvl w:val="0"/>
          <w:numId w:val="1"/>
        </w:numPr>
        <w:spacing w:after="0" w:line="240" w:lineRule="auto"/>
        <w:contextualSpacing w:val="0"/>
        <w:rPr>
          <w:b/>
          <w:bCs/>
          <w:sz w:val="24"/>
          <w:szCs w:val="24"/>
        </w:rPr>
      </w:pPr>
      <w:r w:rsidRPr="00886AC3">
        <w:rPr>
          <w:rFonts w:ascii="Calibri" w:hAnsi="Calibri" w:cs="Calibri"/>
        </w:rPr>
        <w:t xml:space="preserve">The UPWA Workshop </w:t>
      </w:r>
      <w:r w:rsidR="00D9396C" w:rsidRPr="00886AC3">
        <w:rPr>
          <w:rFonts w:ascii="Calibri" w:hAnsi="Calibri" w:cs="Calibri"/>
        </w:rPr>
        <w:t xml:space="preserve">was held on </w:t>
      </w:r>
      <w:r w:rsidRPr="00886AC3">
        <w:rPr>
          <w:rFonts w:ascii="Calibri" w:hAnsi="Calibri" w:cs="Calibri"/>
        </w:rPr>
        <w:t>Friday, March 31</w:t>
      </w:r>
      <w:r w:rsidRPr="00886AC3">
        <w:rPr>
          <w:rFonts w:ascii="Calibri" w:hAnsi="Calibri" w:cs="Calibri"/>
          <w:vertAlign w:val="superscript"/>
        </w:rPr>
        <w:t>st</w:t>
      </w:r>
      <w:r w:rsidRPr="00886AC3">
        <w:rPr>
          <w:rFonts w:ascii="Calibri" w:hAnsi="Calibri" w:cs="Calibri"/>
        </w:rPr>
        <w:t xml:space="preserve"> from 9a.m. -2:00 p.m</w:t>
      </w:r>
      <w:r w:rsidRPr="001F6D3B">
        <w:rPr>
          <w:rFonts w:ascii="Calibri" w:hAnsi="Calibri" w:cs="Calibri"/>
        </w:rPr>
        <w:t xml:space="preserve">.  </w:t>
      </w:r>
      <w:r w:rsidR="00886AC3" w:rsidRPr="001F6D3B">
        <w:rPr>
          <w:rFonts w:ascii="Calibri" w:hAnsi="Calibri" w:cs="Calibri"/>
        </w:rPr>
        <w:t xml:space="preserve">Approximately 17 readers scored close to 100 essays. There was good discussion about what faculty prioritize when assessing writing.  A few </w:t>
      </w:r>
      <w:proofErr w:type="spellStart"/>
      <w:r w:rsidR="00886AC3" w:rsidRPr="001F6D3B">
        <w:rPr>
          <w:rFonts w:ascii="Calibri" w:hAnsi="Calibri" w:cs="Calibri"/>
        </w:rPr>
        <w:t>ChatGPT</w:t>
      </w:r>
      <w:proofErr w:type="spellEnd"/>
      <w:r w:rsidR="00886AC3" w:rsidRPr="001F6D3B">
        <w:rPr>
          <w:rFonts w:ascii="Calibri" w:hAnsi="Calibri" w:cs="Calibri"/>
        </w:rPr>
        <w:t xml:space="preserve"> essays were included.  These had perfect mechanics but were mostly rated as a 2. </w:t>
      </w:r>
      <w:r w:rsidRPr="00886AC3">
        <w:rPr>
          <w:rFonts w:ascii="Calibri" w:hAnsi="Calibri" w:cs="Calibri"/>
        </w:rPr>
        <w:t xml:space="preserve">The Writing Center </w:t>
      </w:r>
      <w:r w:rsidR="00D9396C" w:rsidRPr="00886AC3">
        <w:rPr>
          <w:rFonts w:ascii="Calibri" w:hAnsi="Calibri" w:cs="Calibri"/>
        </w:rPr>
        <w:t xml:space="preserve">paid for an </w:t>
      </w:r>
      <w:r w:rsidRPr="00886AC3">
        <w:rPr>
          <w:rFonts w:ascii="Calibri" w:hAnsi="Calibri" w:cs="Calibri"/>
        </w:rPr>
        <w:t xml:space="preserve">assistant to help with document preparation.   </w:t>
      </w:r>
      <w:r w:rsidR="00886AC3">
        <w:rPr>
          <w:rFonts w:ascii="Calibri" w:hAnsi="Calibri" w:cs="Calibri"/>
        </w:rPr>
        <w:br/>
      </w:r>
    </w:p>
    <w:p w14:paraId="4FA0E03A" w14:textId="77777777" w:rsidR="0003024E" w:rsidRPr="00EA2EF1" w:rsidRDefault="0003024E" w:rsidP="0003024E">
      <w:pPr>
        <w:pStyle w:val="ListParagraph"/>
        <w:ind w:left="360"/>
        <w:rPr>
          <w:b/>
          <w:bCs/>
          <w:sz w:val="24"/>
          <w:szCs w:val="24"/>
        </w:rPr>
      </w:pPr>
    </w:p>
    <w:sectPr w:rsidR="0003024E" w:rsidRPr="00EA2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BC6"/>
    <w:multiLevelType w:val="hybridMultilevel"/>
    <w:tmpl w:val="66309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F3B0B"/>
    <w:multiLevelType w:val="hybridMultilevel"/>
    <w:tmpl w:val="0DD4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2BA0"/>
    <w:multiLevelType w:val="hybridMultilevel"/>
    <w:tmpl w:val="ACFE1A10"/>
    <w:lvl w:ilvl="0" w:tplc="0A9EBAE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F3A1A"/>
    <w:multiLevelType w:val="hybridMultilevel"/>
    <w:tmpl w:val="B2641E00"/>
    <w:lvl w:ilvl="0" w:tplc="62B2DC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3C1552"/>
    <w:multiLevelType w:val="hybridMultilevel"/>
    <w:tmpl w:val="ADD8B53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5" w15:restartNumberingAfterBreak="0">
    <w:nsid w:val="284810C4"/>
    <w:multiLevelType w:val="hybridMultilevel"/>
    <w:tmpl w:val="A80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17258"/>
    <w:multiLevelType w:val="multilevel"/>
    <w:tmpl w:val="DEE8239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6E81ADD"/>
    <w:multiLevelType w:val="hybridMultilevel"/>
    <w:tmpl w:val="ABA4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E7F27"/>
    <w:multiLevelType w:val="hybridMultilevel"/>
    <w:tmpl w:val="B54A8FB8"/>
    <w:lvl w:ilvl="0" w:tplc="0A9EBAE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1069B"/>
    <w:multiLevelType w:val="hybridMultilevel"/>
    <w:tmpl w:val="3DF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74233"/>
    <w:multiLevelType w:val="hybridMultilevel"/>
    <w:tmpl w:val="D88A9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832A17"/>
    <w:multiLevelType w:val="hybridMultilevel"/>
    <w:tmpl w:val="E94A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5C45DA"/>
    <w:multiLevelType w:val="hybridMultilevel"/>
    <w:tmpl w:val="F592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7036A"/>
    <w:multiLevelType w:val="hybridMultilevel"/>
    <w:tmpl w:val="FB28D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8704F1"/>
    <w:multiLevelType w:val="hybridMultilevel"/>
    <w:tmpl w:val="9192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20E87"/>
    <w:multiLevelType w:val="hybridMultilevel"/>
    <w:tmpl w:val="DCB471F6"/>
    <w:lvl w:ilvl="0" w:tplc="0A9EBAE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BB0090"/>
    <w:multiLevelType w:val="hybridMultilevel"/>
    <w:tmpl w:val="C32858EC"/>
    <w:lvl w:ilvl="0" w:tplc="BB66F1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7"/>
  </w:num>
  <w:num w:numId="4">
    <w:abstractNumId w:val="3"/>
  </w:num>
  <w:num w:numId="5">
    <w:abstractNumId w:val="8"/>
  </w:num>
  <w:num w:numId="6">
    <w:abstractNumId w:val="6"/>
  </w:num>
  <w:num w:numId="7">
    <w:abstractNumId w:val="14"/>
  </w:num>
  <w:num w:numId="8">
    <w:abstractNumId w:val="4"/>
  </w:num>
  <w:num w:numId="9">
    <w:abstractNumId w:val="12"/>
  </w:num>
  <w:num w:numId="10">
    <w:abstractNumId w:val="0"/>
  </w:num>
  <w:num w:numId="11">
    <w:abstractNumId w:val="1"/>
  </w:num>
  <w:num w:numId="12">
    <w:abstractNumId w:val="5"/>
  </w:num>
  <w:num w:numId="13">
    <w:abstractNumId w:val="13"/>
  </w:num>
  <w:num w:numId="14">
    <w:abstractNumId w:val="2"/>
  </w:num>
  <w:num w:numId="15">
    <w:abstractNumId w:val="1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BB"/>
    <w:rsid w:val="0003024E"/>
    <w:rsid w:val="00034EED"/>
    <w:rsid w:val="00057A13"/>
    <w:rsid w:val="00064B31"/>
    <w:rsid w:val="00065A4F"/>
    <w:rsid w:val="00081272"/>
    <w:rsid w:val="000F00DE"/>
    <w:rsid w:val="000F69C0"/>
    <w:rsid w:val="000F7D4E"/>
    <w:rsid w:val="00114968"/>
    <w:rsid w:val="001159D0"/>
    <w:rsid w:val="00195B02"/>
    <w:rsid w:val="001967E0"/>
    <w:rsid w:val="001C62BA"/>
    <w:rsid w:val="001F4F9B"/>
    <w:rsid w:val="001F6D3B"/>
    <w:rsid w:val="00241F90"/>
    <w:rsid w:val="00274B17"/>
    <w:rsid w:val="002A62A2"/>
    <w:rsid w:val="002B3DDD"/>
    <w:rsid w:val="002B7E88"/>
    <w:rsid w:val="002C3A29"/>
    <w:rsid w:val="002C72F8"/>
    <w:rsid w:val="002D070C"/>
    <w:rsid w:val="0030579D"/>
    <w:rsid w:val="0031299C"/>
    <w:rsid w:val="00315B38"/>
    <w:rsid w:val="00337DF7"/>
    <w:rsid w:val="00394215"/>
    <w:rsid w:val="00402D7D"/>
    <w:rsid w:val="004757AC"/>
    <w:rsid w:val="004945AA"/>
    <w:rsid w:val="004F7AEE"/>
    <w:rsid w:val="005271ED"/>
    <w:rsid w:val="005628CC"/>
    <w:rsid w:val="00595F4A"/>
    <w:rsid w:val="005C196B"/>
    <w:rsid w:val="005D39D2"/>
    <w:rsid w:val="005E26D7"/>
    <w:rsid w:val="00621ABE"/>
    <w:rsid w:val="00622A50"/>
    <w:rsid w:val="00665661"/>
    <w:rsid w:val="00686E43"/>
    <w:rsid w:val="006A1E1C"/>
    <w:rsid w:val="006C0C95"/>
    <w:rsid w:val="006C126C"/>
    <w:rsid w:val="006F55D6"/>
    <w:rsid w:val="00745418"/>
    <w:rsid w:val="00750B2C"/>
    <w:rsid w:val="00765081"/>
    <w:rsid w:val="00772D4C"/>
    <w:rsid w:val="007A3514"/>
    <w:rsid w:val="007B2407"/>
    <w:rsid w:val="007C08C9"/>
    <w:rsid w:val="007C2818"/>
    <w:rsid w:val="007C59DC"/>
    <w:rsid w:val="007D3999"/>
    <w:rsid w:val="00814F99"/>
    <w:rsid w:val="0082334C"/>
    <w:rsid w:val="008771A8"/>
    <w:rsid w:val="00886AC3"/>
    <w:rsid w:val="008B6754"/>
    <w:rsid w:val="00900FCE"/>
    <w:rsid w:val="009630E8"/>
    <w:rsid w:val="009705BB"/>
    <w:rsid w:val="009B05DA"/>
    <w:rsid w:val="00A36C83"/>
    <w:rsid w:val="00A3761A"/>
    <w:rsid w:val="00A666F6"/>
    <w:rsid w:val="00AA480F"/>
    <w:rsid w:val="00AE4EC7"/>
    <w:rsid w:val="00B5187B"/>
    <w:rsid w:val="00B878C7"/>
    <w:rsid w:val="00BC19AF"/>
    <w:rsid w:val="00BE77CB"/>
    <w:rsid w:val="00C12799"/>
    <w:rsid w:val="00C5427E"/>
    <w:rsid w:val="00C62443"/>
    <w:rsid w:val="00C64A16"/>
    <w:rsid w:val="00C70CB0"/>
    <w:rsid w:val="00C7606F"/>
    <w:rsid w:val="00C83809"/>
    <w:rsid w:val="00C9175E"/>
    <w:rsid w:val="00CF35AB"/>
    <w:rsid w:val="00D126E1"/>
    <w:rsid w:val="00D3239E"/>
    <w:rsid w:val="00D32B52"/>
    <w:rsid w:val="00D458A5"/>
    <w:rsid w:val="00D9396C"/>
    <w:rsid w:val="00DD6F06"/>
    <w:rsid w:val="00E56F7E"/>
    <w:rsid w:val="00E70E05"/>
    <w:rsid w:val="00E92875"/>
    <w:rsid w:val="00EA16A7"/>
    <w:rsid w:val="00EA2EF1"/>
    <w:rsid w:val="00F27C75"/>
    <w:rsid w:val="00F33F73"/>
    <w:rsid w:val="00F659D7"/>
    <w:rsid w:val="00F7713C"/>
    <w:rsid w:val="00FB0E15"/>
    <w:rsid w:val="00FB278F"/>
    <w:rsid w:val="00FB68BB"/>
    <w:rsid w:val="00FC7EEB"/>
    <w:rsid w:val="00FD21DE"/>
    <w:rsid w:val="00FD502B"/>
    <w:rsid w:val="00FD78A8"/>
    <w:rsid w:val="00FE32EE"/>
    <w:rsid w:val="00FF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A6C7"/>
  <w15:docId w15:val="{D57A9B83-92F8-4F40-B8C7-1024CF57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1E1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9A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5427E"/>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5628CC"/>
    <w:rPr>
      <w:color w:val="0000FF"/>
      <w:u w:val="single"/>
    </w:rPr>
  </w:style>
  <w:style w:type="paragraph" w:styleId="ListParagraph">
    <w:name w:val="List Paragraph"/>
    <w:basedOn w:val="Normal"/>
    <w:uiPriority w:val="34"/>
    <w:qFormat/>
    <w:rsid w:val="00BE77CB"/>
    <w:pPr>
      <w:ind w:left="720"/>
      <w:contextualSpacing/>
    </w:pPr>
  </w:style>
  <w:style w:type="character" w:styleId="FollowedHyperlink">
    <w:name w:val="FollowedHyperlink"/>
    <w:basedOn w:val="DefaultParagraphFont"/>
    <w:uiPriority w:val="99"/>
    <w:semiHidden/>
    <w:unhideWhenUsed/>
    <w:rsid w:val="00D126E1"/>
    <w:rPr>
      <w:color w:val="954F72" w:themeColor="followedHyperlink"/>
      <w:u w:val="single"/>
    </w:rPr>
  </w:style>
  <w:style w:type="character" w:customStyle="1" w:styleId="Heading3Char">
    <w:name w:val="Heading 3 Char"/>
    <w:basedOn w:val="DefaultParagraphFont"/>
    <w:link w:val="Heading3"/>
    <w:uiPriority w:val="9"/>
    <w:rsid w:val="006A1E1C"/>
    <w:rPr>
      <w:rFonts w:asciiTheme="majorHAnsi" w:eastAsiaTheme="majorEastAsia" w:hAnsiTheme="majorHAnsi" w:cstheme="majorBidi"/>
      <w:b/>
      <w:bCs/>
      <w:color w:val="4472C4" w:themeColor="accent1"/>
    </w:rPr>
  </w:style>
  <w:style w:type="character" w:customStyle="1" w:styleId="UnresolvedMention1">
    <w:name w:val="Unresolved Mention1"/>
    <w:basedOn w:val="DefaultParagraphFont"/>
    <w:uiPriority w:val="99"/>
    <w:semiHidden/>
    <w:unhideWhenUsed/>
    <w:rsid w:val="00E92875"/>
    <w:rPr>
      <w:color w:val="605E5C"/>
      <w:shd w:val="clear" w:color="auto" w:fill="E1DFDD"/>
    </w:rPr>
  </w:style>
  <w:style w:type="character" w:styleId="UnresolvedMention">
    <w:name w:val="Unresolved Mention"/>
    <w:basedOn w:val="DefaultParagraphFont"/>
    <w:uiPriority w:val="99"/>
    <w:semiHidden/>
    <w:unhideWhenUsed/>
    <w:rsid w:val="001F4F9B"/>
    <w:rPr>
      <w:color w:val="605E5C"/>
      <w:shd w:val="clear" w:color="auto" w:fill="E1DFDD"/>
    </w:rPr>
  </w:style>
  <w:style w:type="paragraph" w:styleId="NormalWeb">
    <w:name w:val="Normal (Web)"/>
    <w:basedOn w:val="Normal"/>
    <w:uiPriority w:val="99"/>
    <w:rsid w:val="00686E43"/>
    <w:pPr>
      <w:spacing w:before="100" w:beforeAutospacing="1" w:after="100" w:afterAutospacing="1" w:line="276" w:lineRule="auto"/>
    </w:pPr>
    <w:rPr>
      <w:rFonts w:ascii="Cambria" w:eastAsia="Times New Roman" w:hAnsi="Cambria" w:cs="Times New Roman"/>
    </w:rPr>
  </w:style>
  <w:style w:type="character" w:customStyle="1" w:styleId="textrun">
    <w:name w:val="textrun"/>
    <w:rsid w:val="00686E43"/>
  </w:style>
  <w:style w:type="character" w:customStyle="1" w:styleId="normaltextrun">
    <w:name w:val="normaltextrun"/>
    <w:rsid w:val="00686E43"/>
  </w:style>
  <w:style w:type="character" w:customStyle="1" w:styleId="eop">
    <w:name w:val="eop"/>
    <w:rsid w:val="00686E43"/>
  </w:style>
  <w:style w:type="paragraph" w:customStyle="1" w:styleId="section1">
    <w:name w:val="section1"/>
    <w:basedOn w:val="Normal"/>
    <w:rsid w:val="00FE32EE"/>
    <w:pPr>
      <w:spacing w:before="100" w:beforeAutospacing="1" w:after="100" w:afterAutospacing="1" w:line="276" w:lineRule="auto"/>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37919">
      <w:bodyDiv w:val="1"/>
      <w:marLeft w:val="0"/>
      <w:marRight w:val="0"/>
      <w:marTop w:val="0"/>
      <w:marBottom w:val="0"/>
      <w:divBdr>
        <w:top w:val="none" w:sz="0" w:space="0" w:color="auto"/>
        <w:left w:val="none" w:sz="0" w:space="0" w:color="auto"/>
        <w:bottom w:val="none" w:sz="0" w:space="0" w:color="auto"/>
        <w:right w:val="none" w:sz="0" w:space="0" w:color="auto"/>
      </w:divBdr>
    </w:div>
    <w:div w:id="988096547">
      <w:bodyDiv w:val="1"/>
      <w:marLeft w:val="0"/>
      <w:marRight w:val="0"/>
      <w:marTop w:val="0"/>
      <w:marBottom w:val="0"/>
      <w:divBdr>
        <w:top w:val="none" w:sz="0" w:space="0" w:color="auto"/>
        <w:left w:val="none" w:sz="0" w:space="0" w:color="auto"/>
        <w:bottom w:val="none" w:sz="0" w:space="0" w:color="auto"/>
        <w:right w:val="none" w:sz="0" w:space="0" w:color="auto"/>
      </w:divBdr>
    </w:div>
    <w:div w:id="1210725376">
      <w:bodyDiv w:val="1"/>
      <w:marLeft w:val="0"/>
      <w:marRight w:val="0"/>
      <w:marTop w:val="0"/>
      <w:marBottom w:val="0"/>
      <w:divBdr>
        <w:top w:val="none" w:sz="0" w:space="0" w:color="auto"/>
        <w:left w:val="none" w:sz="0" w:space="0" w:color="auto"/>
        <w:bottom w:val="none" w:sz="0" w:space="0" w:color="auto"/>
        <w:right w:val="none" w:sz="0" w:space="0" w:color="auto"/>
      </w:divBdr>
    </w:div>
    <w:div w:id="2097431583">
      <w:bodyDiv w:val="1"/>
      <w:marLeft w:val="0"/>
      <w:marRight w:val="0"/>
      <w:marTop w:val="0"/>
      <w:marBottom w:val="0"/>
      <w:divBdr>
        <w:top w:val="none" w:sz="0" w:space="0" w:color="auto"/>
        <w:left w:val="none" w:sz="0" w:space="0" w:color="auto"/>
        <w:bottom w:val="none" w:sz="0" w:space="0" w:color="auto"/>
        <w:right w:val="none" w:sz="0" w:space="0" w:color="auto"/>
      </w:divBdr>
      <w:divsChild>
        <w:div w:id="899822748">
          <w:marLeft w:val="-225"/>
          <w:marRight w:val="-225"/>
          <w:marTop w:val="0"/>
          <w:marBottom w:val="0"/>
          <w:divBdr>
            <w:top w:val="none" w:sz="0" w:space="0" w:color="auto"/>
            <w:left w:val="none" w:sz="0" w:space="0" w:color="auto"/>
            <w:bottom w:val="none" w:sz="0" w:space="0" w:color="auto"/>
            <w:right w:val="none" w:sz="0" w:space="0" w:color="auto"/>
          </w:divBdr>
          <w:divsChild>
            <w:div w:id="222447062">
              <w:marLeft w:val="0"/>
              <w:marRight w:val="0"/>
              <w:marTop w:val="0"/>
              <w:marBottom w:val="0"/>
              <w:divBdr>
                <w:top w:val="none" w:sz="0" w:space="0" w:color="auto"/>
                <w:left w:val="none" w:sz="0" w:space="0" w:color="auto"/>
                <w:bottom w:val="none" w:sz="0" w:space="0" w:color="auto"/>
                <w:right w:val="none" w:sz="0" w:space="0" w:color="auto"/>
              </w:divBdr>
            </w:div>
          </w:divsChild>
        </w:div>
        <w:div w:id="654144173">
          <w:marLeft w:val="-225"/>
          <w:marRight w:val="-225"/>
          <w:marTop w:val="0"/>
          <w:marBottom w:val="0"/>
          <w:divBdr>
            <w:top w:val="none" w:sz="0" w:space="0" w:color="auto"/>
            <w:left w:val="none" w:sz="0" w:space="0" w:color="auto"/>
            <w:bottom w:val="none" w:sz="0" w:space="0" w:color="auto"/>
            <w:right w:val="none" w:sz="0" w:space="0" w:color="auto"/>
          </w:divBdr>
          <w:divsChild>
            <w:div w:id="146828997">
              <w:marLeft w:val="0"/>
              <w:marRight w:val="0"/>
              <w:marTop w:val="0"/>
              <w:marBottom w:val="0"/>
              <w:divBdr>
                <w:top w:val="none" w:sz="0" w:space="0" w:color="auto"/>
                <w:left w:val="none" w:sz="0" w:space="0" w:color="auto"/>
                <w:bottom w:val="none" w:sz="0" w:space="0" w:color="auto"/>
                <w:right w:val="none" w:sz="0" w:space="0" w:color="auto"/>
              </w:divBdr>
              <w:divsChild>
                <w:div w:id="1875463374">
                  <w:marLeft w:val="-225"/>
                  <w:marRight w:val="-225"/>
                  <w:marTop w:val="0"/>
                  <w:marBottom w:val="0"/>
                  <w:divBdr>
                    <w:top w:val="none" w:sz="0" w:space="0" w:color="auto"/>
                    <w:left w:val="none" w:sz="0" w:space="0" w:color="auto"/>
                    <w:bottom w:val="none" w:sz="0" w:space="0" w:color="auto"/>
                    <w:right w:val="none" w:sz="0" w:space="0" w:color="auto"/>
                  </w:divBdr>
                  <w:divsChild>
                    <w:div w:id="1232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t.box.com/s/l2y52n21w99cbu6il7ty3i0t91rkpkkp" TargetMode="External"/><Relationship Id="rId3" Type="http://schemas.openxmlformats.org/officeDocument/2006/relationships/settings" Target="settings.xml"/><Relationship Id="rId7" Type="http://schemas.openxmlformats.org/officeDocument/2006/relationships/hyperlink" Target="https://umt.box.com/s/bs2kitszi61mamfyzwlzq9yehf7eo0i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t.box.com/s/35kq9fiwnycnh8ax7aqdhxawlrup2n3t" TargetMode="External"/><Relationship Id="rId11" Type="http://schemas.openxmlformats.org/officeDocument/2006/relationships/fontTable" Target="fontTable.xml"/><Relationship Id="rId5" Type="http://schemas.openxmlformats.org/officeDocument/2006/relationships/hyperlink" Target="https://umt.box.com/s/22gymfw9thrczcgr6iza94xv9jnkjcoe" TargetMode="External"/><Relationship Id="rId10" Type="http://schemas.openxmlformats.org/officeDocument/2006/relationships/hyperlink" Target="https://umt.box.com/s/a98x0slnm03t3d53cibps0z4f060fp3h" TargetMode="External"/><Relationship Id="rId4" Type="http://schemas.openxmlformats.org/officeDocument/2006/relationships/webSettings" Target="webSettings.xml"/><Relationship Id="rId9" Type="http://schemas.openxmlformats.org/officeDocument/2006/relationships/hyperlink" Target="https://umt.box.com/s/9xl7zc4wsxtzwzjn6jpewq43ck2qxw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16</cp:revision>
  <dcterms:created xsi:type="dcterms:W3CDTF">2023-04-19T20:39:00Z</dcterms:created>
  <dcterms:modified xsi:type="dcterms:W3CDTF">2023-05-04T19:40:00Z</dcterms:modified>
</cp:coreProperties>
</file>