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BB" w:rsidRDefault="00713C59" w:rsidP="00E108BB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493CF78" wp14:editId="758B09EE">
            <wp:simplePos x="0" y="0"/>
            <wp:positionH relativeFrom="column">
              <wp:posOffset>4429125</wp:posOffset>
            </wp:positionH>
            <wp:positionV relativeFrom="paragraph">
              <wp:posOffset>133350</wp:posOffset>
            </wp:positionV>
            <wp:extent cx="1514475" cy="419100"/>
            <wp:effectExtent l="0" t="0" r="9525" b="0"/>
            <wp:wrapTight wrapText="bothSides">
              <wp:wrapPolygon edited="0">
                <wp:start x="0" y="0"/>
                <wp:lineTo x="0" y="15709"/>
                <wp:lineTo x="1087" y="16691"/>
                <wp:lineTo x="1087" y="20618"/>
                <wp:lineTo x="21464" y="20618"/>
                <wp:lineTo x="21464" y="1964"/>
                <wp:lineTo x="15487" y="0"/>
                <wp:lineTo x="0" y="0"/>
              </wp:wrapPolygon>
            </wp:wrapTight>
            <wp:docPr id="8" name="Picture 4" descr="Description: FSonlly" title="Faculty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FSonl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1E5A8E2" wp14:editId="628C89EA">
            <wp:simplePos x="0" y="0"/>
            <wp:positionH relativeFrom="column">
              <wp:posOffset>-47625</wp:posOffset>
            </wp:positionH>
            <wp:positionV relativeFrom="paragraph">
              <wp:posOffset>274320</wp:posOffset>
            </wp:positionV>
            <wp:extent cx="4325112" cy="310896"/>
            <wp:effectExtent l="0" t="0" r="0" b="0"/>
            <wp:wrapThrough wrapText="bothSides">
              <wp:wrapPolygon edited="0">
                <wp:start x="0" y="0"/>
                <wp:lineTo x="0" y="19877"/>
                <wp:lineTo x="21502" y="19877"/>
                <wp:lineTo x="21502" y="0"/>
                <wp:lineTo x="0" y="0"/>
              </wp:wrapPolygon>
            </wp:wrapThrough>
            <wp:docPr id="1" name="Picture 1" descr="Description: umlogostretch450mw" title="The University of Mont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mlogostretch450m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12" cy="31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BB">
        <w:rPr>
          <w:noProof/>
        </w:rPr>
        <w:t>Procedure</w:t>
      </w:r>
      <w:r w:rsidR="0092488E" w:rsidRPr="0092488E">
        <w:rPr>
          <w:rFonts w:cs="Arial"/>
          <w:noProof/>
        </w:rPr>
        <w:t xml:space="preserve"> </w:t>
      </w:r>
      <w:r w:rsidR="0092488E">
        <w:rPr>
          <w:rFonts w:cs="Arial"/>
          <w:noProof/>
        </w:rPr>
        <w:tab/>
      </w:r>
      <w:r w:rsidR="0092488E">
        <w:rPr>
          <w:rFonts w:cs="Arial"/>
          <w:noProof/>
        </w:rPr>
        <w:tab/>
      </w:r>
      <w:r w:rsidR="0024248D">
        <w:rPr>
          <w:rFonts w:cs="Arial"/>
          <w:noProof/>
        </w:rPr>
        <w:t>G</w:t>
      </w:r>
      <w:r w:rsidR="00907737">
        <w:rPr>
          <w:rFonts w:cs="Arial"/>
          <w:noProof/>
        </w:rPr>
        <w:t>eneral Education Framework</w:t>
      </w:r>
    </w:p>
    <w:p w:rsidR="00073E2B" w:rsidRPr="007B5932" w:rsidRDefault="003B718A" w:rsidP="00E67679">
      <w:pPr>
        <w:ind w:firstLine="0"/>
        <w:rPr>
          <w:rFonts w:cs="Arial"/>
          <w:strike/>
          <w:noProof/>
        </w:rPr>
      </w:pPr>
      <w:r w:rsidRPr="00073E2B">
        <w:rPr>
          <w:rStyle w:val="SubtleReference"/>
        </w:rPr>
        <w:t xml:space="preserve">Procedure </w:t>
      </w:r>
      <w:r w:rsidRPr="002071FD">
        <w:rPr>
          <w:rStyle w:val="SubtleReference"/>
        </w:rPr>
        <w:t>Number:</w:t>
      </w:r>
      <w:r w:rsidRPr="002071FD">
        <w:rPr>
          <w:rFonts w:cs="Arial"/>
          <w:noProof/>
        </w:rPr>
        <w:tab/>
      </w:r>
      <w:r w:rsidR="00C64585" w:rsidRPr="002071FD">
        <w:rPr>
          <w:rFonts w:cs="Arial"/>
          <w:noProof/>
        </w:rPr>
        <w:t>20</w:t>
      </w:r>
      <w:r w:rsidR="0024248D">
        <w:rPr>
          <w:rFonts w:cs="Arial"/>
          <w:noProof/>
        </w:rPr>
        <w:t>2</w:t>
      </w:r>
      <w:r w:rsidR="009F0D09">
        <w:rPr>
          <w:rFonts w:cs="Arial"/>
          <w:noProof/>
        </w:rPr>
        <w:t>.</w:t>
      </w:r>
      <w:r w:rsidR="00907737">
        <w:rPr>
          <w:rFonts w:cs="Arial"/>
          <w:noProof/>
        </w:rPr>
        <w:t>1</w:t>
      </w:r>
      <w:r w:rsidR="00D137E4">
        <w:rPr>
          <w:rFonts w:cs="Arial"/>
          <w:noProof/>
        </w:rPr>
        <w:t>0</w:t>
      </w:r>
      <w:r w:rsidRPr="002071FD">
        <w:rPr>
          <w:rFonts w:cs="Arial"/>
          <w:noProof/>
        </w:rPr>
        <w:br/>
      </w:r>
      <w:r w:rsidR="00E108BB" w:rsidRPr="002071FD">
        <w:rPr>
          <w:rStyle w:val="SubtleReference"/>
        </w:rPr>
        <w:t>Date Adopted:</w:t>
      </w:r>
      <w:r w:rsidR="00797A9E" w:rsidRPr="002071FD">
        <w:rPr>
          <w:rStyle w:val="SubtleReference"/>
        </w:rPr>
        <w:tab/>
      </w:r>
      <w:r w:rsidR="0092488E" w:rsidRPr="002071FD">
        <w:rPr>
          <w:rStyle w:val="Heading2Char"/>
          <w:rFonts w:asciiTheme="minorHAnsi" w:hAnsiTheme="minorHAnsi"/>
          <w:sz w:val="22"/>
          <w:szCs w:val="22"/>
        </w:rPr>
        <w:tab/>
      </w:r>
      <w:r w:rsidR="00907737">
        <w:rPr>
          <w:rFonts w:cs="Arial"/>
          <w:noProof/>
        </w:rPr>
        <w:t>10/11/07</w:t>
      </w:r>
      <w:r w:rsidR="003200C4" w:rsidRPr="002071FD">
        <w:rPr>
          <w:rFonts w:cs="Arial"/>
          <w:noProof/>
        </w:rPr>
        <w:t xml:space="preserve">  </w:t>
      </w:r>
      <w:r w:rsidR="003200C4" w:rsidRPr="002071FD">
        <w:rPr>
          <w:rFonts w:cs="Arial"/>
          <w:noProof/>
        </w:rPr>
        <w:br/>
      </w:r>
      <w:r w:rsidR="00797A9E" w:rsidRPr="002071FD">
        <w:rPr>
          <w:rStyle w:val="SubtleReference"/>
        </w:rPr>
        <w:t>Last Revision:</w:t>
      </w:r>
      <w:r w:rsidR="00797A9E" w:rsidRPr="002071FD">
        <w:rPr>
          <w:rStyle w:val="SubtleReference"/>
        </w:rPr>
        <w:tab/>
      </w:r>
      <w:r w:rsidR="00797A9E" w:rsidRPr="002071FD">
        <w:rPr>
          <w:rFonts w:cs="Arial"/>
          <w:noProof/>
        </w:rPr>
        <w:tab/>
      </w:r>
      <w:r w:rsidR="00907737" w:rsidRPr="007B5932">
        <w:rPr>
          <w:rFonts w:cs="Arial"/>
          <w:strike/>
          <w:noProof/>
        </w:rPr>
        <w:t>3/8/12</w:t>
      </w:r>
      <w:r w:rsidR="00B61468">
        <w:rPr>
          <w:rFonts w:cs="Arial"/>
          <w:strike/>
          <w:noProof/>
        </w:rPr>
        <w:t xml:space="preserve"> </w:t>
      </w:r>
      <w:r w:rsidR="00B61468" w:rsidRPr="00B61468">
        <w:rPr>
          <w:rFonts w:cs="Arial"/>
          <w:noProof/>
          <w:u w:val="single"/>
        </w:rPr>
        <w:t>XX/XX/ 17</w:t>
      </w:r>
    </w:p>
    <w:p w:rsidR="00073E2B" w:rsidRPr="002071FD" w:rsidRDefault="006E5A78" w:rsidP="00E67679">
      <w:pPr>
        <w:ind w:firstLine="0"/>
        <w:rPr>
          <w:rFonts w:cs="Arial"/>
          <w:noProof/>
        </w:rPr>
      </w:pPr>
      <w:r w:rsidRPr="002071FD">
        <w:rPr>
          <w:rStyle w:val="Heading2Char"/>
          <w:rFonts w:asciiTheme="minorHAnsi" w:hAnsiTheme="minorHAnsi"/>
          <w:sz w:val="22"/>
          <w:szCs w:val="22"/>
        </w:rPr>
        <w:tab/>
      </w:r>
      <w:r w:rsidRPr="002071FD">
        <w:rPr>
          <w:rStyle w:val="Heading2Char"/>
          <w:rFonts w:asciiTheme="minorHAnsi" w:hAnsiTheme="minorHAnsi"/>
          <w:sz w:val="22"/>
          <w:szCs w:val="22"/>
        </w:rPr>
        <w:tab/>
      </w:r>
    </w:p>
    <w:p w:rsidR="00F94E42" w:rsidRPr="002071FD" w:rsidRDefault="00F25E28" w:rsidP="00E67679">
      <w:pPr>
        <w:ind w:firstLine="0"/>
        <w:rPr>
          <w:rFonts w:cs="Arial"/>
          <w:noProof/>
        </w:rPr>
      </w:pPr>
      <w:r w:rsidRPr="002071FD">
        <w:rPr>
          <w:rStyle w:val="SubtleReference"/>
        </w:rPr>
        <w:t>Approved by:</w:t>
      </w:r>
      <w:r w:rsidRPr="002071FD">
        <w:rPr>
          <w:rStyle w:val="Heading2Char"/>
          <w:rFonts w:asciiTheme="minorHAnsi" w:hAnsiTheme="minorHAnsi"/>
          <w:sz w:val="22"/>
          <w:szCs w:val="22"/>
        </w:rPr>
        <w:t xml:space="preserve"> </w:t>
      </w:r>
      <w:r w:rsidR="00557A60" w:rsidRPr="002071FD">
        <w:rPr>
          <w:rStyle w:val="Heading2Char"/>
          <w:rFonts w:asciiTheme="minorHAnsi" w:hAnsiTheme="minorHAnsi"/>
          <w:sz w:val="22"/>
          <w:szCs w:val="22"/>
        </w:rPr>
        <w:tab/>
      </w:r>
      <w:r w:rsidR="003B718A" w:rsidRPr="002071FD">
        <w:rPr>
          <w:rFonts w:cs="Arial"/>
          <w:noProof/>
        </w:rPr>
        <w:tab/>
      </w:r>
      <w:r w:rsidR="00907737">
        <w:rPr>
          <w:rFonts w:cs="Arial"/>
          <w:noProof/>
        </w:rPr>
        <w:t>Faculty Senate</w:t>
      </w:r>
    </w:p>
    <w:p w:rsidR="003229C4" w:rsidRDefault="00FA2456" w:rsidP="00324A01">
      <w:pPr>
        <w:rPr>
          <w:rFonts w:cs="Arial"/>
          <w:sz w:val="24"/>
          <w:szCs w:val="24"/>
        </w:rPr>
      </w:pPr>
      <w:r w:rsidRPr="00E67679">
        <w:rPr>
          <w:rStyle w:val="Heading2Ch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7D8200" wp14:editId="4DF0F86A">
                <wp:simplePos x="0" y="0"/>
                <wp:positionH relativeFrom="column">
                  <wp:posOffset>-47625</wp:posOffset>
                </wp:positionH>
                <wp:positionV relativeFrom="paragraph">
                  <wp:posOffset>137795</wp:posOffset>
                </wp:positionV>
                <wp:extent cx="5991225" cy="0"/>
                <wp:effectExtent l="0" t="0" r="9525" b="19050"/>
                <wp:wrapNone/>
                <wp:docPr id="2" name="Line 6" title="Sepe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6C324C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81CB6" id="Line 6" o:spid="_x0000_s1026" alt="Title: Seperation line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85pt" to="46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" o:allowincell="f" strokecolor="#6c324c" strokeweight="1.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32"/>
        <w:gridCol w:w="1440"/>
      </w:tblGrid>
      <w:tr w:rsidR="00A435C1" w:rsidTr="006E558A">
        <w:trPr>
          <w:trHeight w:val="548"/>
          <w:tblHeader/>
        </w:trPr>
        <w:tc>
          <w:tcPr>
            <w:tcW w:w="7732" w:type="dxa"/>
          </w:tcPr>
          <w:p w:rsidR="00A435C1" w:rsidRDefault="00A435C1" w:rsidP="006E558A">
            <w:pPr>
              <w:pStyle w:val="Heading2"/>
              <w:spacing w:before="0" w:after="0"/>
            </w:pPr>
            <w:r>
              <w:t>Group</w:t>
            </w:r>
          </w:p>
        </w:tc>
        <w:tc>
          <w:tcPr>
            <w:tcW w:w="1440" w:type="dxa"/>
          </w:tcPr>
          <w:p w:rsidR="00A435C1" w:rsidRPr="00A435C1" w:rsidRDefault="00A435C1" w:rsidP="006E558A">
            <w:pPr>
              <w:rPr>
                <w:rStyle w:val="Heading2Char"/>
              </w:rPr>
            </w:pPr>
            <w:r w:rsidRPr="00A435C1">
              <w:rPr>
                <w:rStyle w:val="Heading2Char"/>
              </w:rPr>
              <w:t>Credits</w:t>
            </w:r>
          </w:p>
        </w:tc>
      </w:tr>
      <w:tr w:rsidR="00907737" w:rsidTr="006E558A">
        <w:tc>
          <w:tcPr>
            <w:tcW w:w="7732" w:type="dxa"/>
          </w:tcPr>
          <w:p w:rsidR="00907737" w:rsidRDefault="00907737" w:rsidP="006E558A">
            <w:pPr>
              <w:pStyle w:val="Heading2"/>
              <w:spacing w:before="0" w:after="0"/>
              <w:rPr>
                <w:rFonts w:cstheme="minorBidi"/>
              </w:rPr>
            </w:pPr>
            <w:r>
              <w:t>I:  English Writing Skills</w:t>
            </w:r>
          </w:p>
          <w:p w:rsidR="00907737" w:rsidRDefault="00281DDB" w:rsidP="006E558A">
            <w:pPr>
              <w:numPr>
                <w:ilvl w:val="0"/>
                <w:numId w:val="33"/>
              </w:numPr>
            </w:pPr>
            <w:r>
              <w:t>Introductory College Writing (</w:t>
            </w:r>
            <w:r w:rsidR="00907737">
              <w:t>WRIT 101</w:t>
            </w:r>
            <w:r>
              <w:t>)</w:t>
            </w:r>
            <w:r w:rsidR="00907737">
              <w:tab/>
            </w:r>
            <w:r w:rsidR="00907737">
              <w:tab/>
              <w:t xml:space="preserve">    </w:t>
            </w:r>
            <w:r w:rsidR="00907737">
              <w:tab/>
              <w:t xml:space="preserve"> </w:t>
            </w:r>
          </w:p>
          <w:p w:rsidR="00907737" w:rsidRPr="00450B52" w:rsidRDefault="00907737" w:rsidP="006E558A">
            <w:pPr>
              <w:numPr>
                <w:ilvl w:val="0"/>
                <w:numId w:val="33"/>
              </w:numPr>
              <w:rPr>
                <w:strike/>
              </w:rPr>
            </w:pPr>
            <w:r>
              <w:t xml:space="preserve">One </w:t>
            </w:r>
            <w:r w:rsidRPr="00450B52">
              <w:rPr>
                <w:strike/>
              </w:rPr>
              <w:t>designated</w:t>
            </w:r>
            <w:r>
              <w:t xml:space="preserve"> </w:t>
            </w:r>
            <w:r w:rsidR="00450B52" w:rsidRPr="00450B52">
              <w:rPr>
                <w:u w:val="single"/>
              </w:rPr>
              <w:t xml:space="preserve">Intermediate </w:t>
            </w:r>
            <w:r>
              <w:t>Writing Course (</w:t>
            </w:r>
            <w:r w:rsidRPr="00450B52">
              <w:rPr>
                <w:strike/>
              </w:rPr>
              <w:t>either lower division or upper division)</w:t>
            </w:r>
            <w:r w:rsidRPr="00450B52">
              <w:rPr>
                <w:strike/>
              </w:rPr>
              <w:tab/>
              <w:t xml:space="preserve">    </w:t>
            </w:r>
          </w:p>
          <w:p w:rsidR="00907737" w:rsidRPr="00450B52" w:rsidRDefault="00907737" w:rsidP="006E558A">
            <w:pPr>
              <w:numPr>
                <w:ilvl w:val="0"/>
                <w:numId w:val="33"/>
              </w:numPr>
              <w:rPr>
                <w:strike/>
                <w:color w:val="FF0000"/>
              </w:rPr>
            </w:pPr>
            <w:r w:rsidRPr="00450B52">
              <w:rPr>
                <w:strike/>
              </w:rPr>
              <w:t>Take and pass the Writing Proficiency Assessment (WPA)</w:t>
            </w:r>
            <w:r w:rsidRPr="00450B52">
              <w:rPr>
                <w:strike/>
              </w:rPr>
              <w:tab/>
            </w:r>
            <w:r w:rsidRPr="00450B52">
              <w:rPr>
                <w:strike/>
              </w:rPr>
              <w:tab/>
              <w:t xml:space="preserve">  </w:t>
            </w:r>
          </w:p>
          <w:p w:rsidR="00907737" w:rsidRDefault="00907737" w:rsidP="006E558A">
            <w:pPr>
              <w:numPr>
                <w:ilvl w:val="0"/>
                <w:numId w:val="33"/>
              </w:numPr>
            </w:pPr>
            <w:r w:rsidRPr="00450B52">
              <w:rPr>
                <w:strike/>
              </w:rPr>
              <w:t>Upper-Division</w:t>
            </w:r>
            <w:r>
              <w:t xml:space="preserve"> </w:t>
            </w:r>
            <w:r w:rsidR="00450B52" w:rsidRPr="00450B52">
              <w:rPr>
                <w:u w:val="single"/>
              </w:rPr>
              <w:t>Advanced</w:t>
            </w:r>
            <w:r w:rsidR="00450B52">
              <w:t xml:space="preserve"> </w:t>
            </w:r>
            <w:r>
              <w:t xml:space="preserve">Writing Requirement (as specified by major department) </w:t>
            </w:r>
          </w:p>
        </w:tc>
        <w:tc>
          <w:tcPr>
            <w:tcW w:w="1440" w:type="dxa"/>
            <w:hideMark/>
          </w:tcPr>
          <w:p w:rsidR="00907737" w:rsidRDefault="00907737" w:rsidP="006E558A">
            <w:pPr>
              <w:jc w:val="center"/>
            </w:pPr>
            <w:r>
              <w:br/>
            </w:r>
            <w:r>
              <w:br/>
              <w:t>3</w:t>
            </w:r>
            <w:r>
              <w:br/>
              <w:t>3</w:t>
            </w:r>
            <w:r>
              <w:br/>
            </w:r>
            <w:r w:rsidRPr="00450B52">
              <w:rPr>
                <w:strike/>
              </w:rPr>
              <w:t xml:space="preserve">0 </w:t>
            </w:r>
            <w:r>
              <w:br/>
            </w:r>
            <w:r w:rsidRPr="00450B52">
              <w:rPr>
                <w:strike/>
              </w:rPr>
              <w:t>1-</w:t>
            </w:r>
            <w:r>
              <w:t>3</w:t>
            </w:r>
          </w:p>
        </w:tc>
      </w:tr>
      <w:tr w:rsidR="00907737" w:rsidTr="006E558A">
        <w:trPr>
          <w:trHeight w:val="260"/>
        </w:trPr>
        <w:tc>
          <w:tcPr>
            <w:tcW w:w="7732" w:type="dxa"/>
            <w:hideMark/>
          </w:tcPr>
          <w:p w:rsidR="00907737" w:rsidRDefault="00907737" w:rsidP="006E558A">
            <w:pPr>
              <w:pStyle w:val="Heading2"/>
              <w:spacing w:before="0" w:after="0"/>
              <w:rPr>
                <w:sz w:val="22"/>
                <w:szCs w:val="22"/>
              </w:rPr>
            </w:pPr>
            <w:r>
              <w:t>II:  Mathematics</w:t>
            </w:r>
            <w:r>
              <w:tab/>
            </w:r>
          </w:p>
        </w:tc>
        <w:tc>
          <w:tcPr>
            <w:tcW w:w="1440" w:type="dxa"/>
            <w:hideMark/>
          </w:tcPr>
          <w:p w:rsidR="00907737" w:rsidRDefault="006E558A" w:rsidP="006E558A">
            <w:r>
              <w:t xml:space="preserve">    </w:t>
            </w:r>
            <w:r w:rsidR="00907737">
              <w:t>3</w:t>
            </w:r>
          </w:p>
        </w:tc>
      </w:tr>
      <w:tr w:rsidR="00907737" w:rsidTr="006E558A">
        <w:tc>
          <w:tcPr>
            <w:tcW w:w="7732" w:type="dxa"/>
            <w:hideMark/>
          </w:tcPr>
          <w:p w:rsidR="00907737" w:rsidRDefault="00907737" w:rsidP="006E558A">
            <w:pPr>
              <w:spacing w:line="276" w:lineRule="auto"/>
              <w:ind w:firstLine="0"/>
            </w:pPr>
            <w:r w:rsidRPr="00A435C1">
              <w:rPr>
                <w:rStyle w:val="Heading2Char"/>
              </w:rPr>
              <w:t xml:space="preserve">Group III: Modern and Classical Languages </w:t>
            </w:r>
            <w:r w:rsidRPr="003C34CB">
              <w:rPr>
                <w:rStyle w:val="Heading2Char"/>
                <w:strike/>
              </w:rPr>
              <w:t>or Symbolic Systems</w:t>
            </w:r>
            <w:r w:rsidRPr="00A435C1">
              <w:rPr>
                <w:rStyle w:val="Heading2Char"/>
              </w:rPr>
              <w:tab/>
            </w:r>
            <w:r>
              <w:br/>
            </w:r>
            <w:r w:rsidR="00071077" w:rsidRPr="00D90124">
              <w:rPr>
                <w:strike/>
              </w:rPr>
              <w:t>A two semester language sequence is the default option (test out provisions apply).</w:t>
            </w:r>
            <w:r w:rsidR="00071077">
              <w:t xml:space="preserve"> </w:t>
            </w:r>
            <w:r w:rsidR="00071077">
              <w:br/>
            </w:r>
            <w:r w:rsidR="00071077" w:rsidRPr="00D90124">
              <w:rPr>
                <w:rFonts w:cstheme="minorHAnsi"/>
                <w:color w:val="555555"/>
                <w:u w:val="single"/>
              </w:rPr>
              <w:t>Students must complete the first-year sequence of a language or demonstrate comparable proficiency</w:t>
            </w:r>
            <w:r w:rsidR="00071077">
              <w:rPr>
                <w:rFonts w:cstheme="minorHAnsi"/>
                <w:color w:val="555555"/>
                <w:u w:val="single"/>
              </w:rPr>
              <w:br/>
            </w:r>
            <w:r w:rsidR="00071077" w:rsidRPr="00450B52">
              <w:rPr>
                <w:strike/>
              </w:rPr>
              <w:t>Students may substitute a symbolic system sequence required by their major and approved by the General Education Committee.</w:t>
            </w:r>
            <w:r w:rsidR="00071077">
              <w:rPr>
                <w:strike/>
              </w:rPr>
              <w:br/>
            </w:r>
            <w:r w:rsidR="00071077" w:rsidRPr="00B61468">
              <w:rPr>
                <w:u w:val="single"/>
              </w:rPr>
              <w:t xml:space="preserve">Some </w:t>
            </w:r>
            <w:r w:rsidR="006E558A">
              <w:rPr>
                <w:u w:val="single"/>
              </w:rPr>
              <w:t xml:space="preserve">extended </w:t>
            </w:r>
            <w:r w:rsidR="00071077" w:rsidRPr="00B61468">
              <w:rPr>
                <w:u w:val="single"/>
              </w:rPr>
              <w:t xml:space="preserve">majors </w:t>
            </w:r>
            <w:proofErr w:type="gramStart"/>
            <w:r w:rsidR="00071077" w:rsidRPr="00B61468">
              <w:rPr>
                <w:u w:val="single"/>
              </w:rPr>
              <w:t>are exempted</w:t>
            </w:r>
            <w:proofErr w:type="gramEnd"/>
            <w:r w:rsidR="00071077" w:rsidRPr="00B61468">
              <w:rPr>
                <w:u w:val="single"/>
              </w:rPr>
              <w:t xml:space="preserve"> from this requirement</w:t>
            </w:r>
            <w:r w:rsidR="00071077" w:rsidRPr="00D90124">
              <w:rPr>
                <w:u w:val="single"/>
              </w:rPr>
              <w:t>.</w:t>
            </w:r>
            <w:r w:rsidR="00071077" w:rsidRPr="00D90124">
              <w:t xml:space="preserve"> See list in the </w:t>
            </w:r>
            <w:hyperlink r:id="rId8" w:history="1">
              <w:r w:rsidR="00071077" w:rsidRPr="001A11B2">
                <w:rPr>
                  <w:rStyle w:val="Hyperlink"/>
                </w:rPr>
                <w:t>catalog</w:t>
              </w:r>
            </w:hyperlink>
            <w:r w:rsidR="00071077" w:rsidRPr="00D90124">
              <w:t>.</w:t>
            </w:r>
          </w:p>
        </w:tc>
        <w:tc>
          <w:tcPr>
            <w:tcW w:w="1440" w:type="dxa"/>
            <w:hideMark/>
          </w:tcPr>
          <w:p w:rsidR="00907737" w:rsidRDefault="00907737" w:rsidP="006E558A">
            <w:pPr>
              <w:jc w:val="center"/>
            </w:pPr>
            <w:r>
              <w:t xml:space="preserve">0-10 </w:t>
            </w:r>
            <w:r w:rsidRPr="00450B52">
              <w:rPr>
                <w:strike/>
              </w:rPr>
              <w:t>or 3-6</w:t>
            </w:r>
          </w:p>
        </w:tc>
      </w:tr>
      <w:tr w:rsidR="00907737" w:rsidTr="006E558A">
        <w:tc>
          <w:tcPr>
            <w:tcW w:w="7732" w:type="dxa"/>
            <w:hideMark/>
          </w:tcPr>
          <w:p w:rsidR="00907737" w:rsidRDefault="00907737" w:rsidP="006E558A">
            <w:pPr>
              <w:pStyle w:val="Heading2"/>
              <w:spacing w:before="0" w:after="0"/>
              <w:rPr>
                <w:sz w:val="22"/>
                <w:szCs w:val="22"/>
              </w:rPr>
            </w:pPr>
            <w:r>
              <w:t xml:space="preserve">IV:  </w:t>
            </w:r>
            <w:r w:rsidR="006E558A">
              <w:t xml:space="preserve">  </w:t>
            </w:r>
            <w:r>
              <w:t>Expressive Arts</w:t>
            </w:r>
            <w:r>
              <w:tab/>
            </w:r>
          </w:p>
        </w:tc>
        <w:tc>
          <w:tcPr>
            <w:tcW w:w="1440" w:type="dxa"/>
            <w:hideMark/>
          </w:tcPr>
          <w:p w:rsidR="00907737" w:rsidRDefault="00907737" w:rsidP="006E558A">
            <w:pPr>
              <w:jc w:val="center"/>
            </w:pPr>
            <w:r>
              <w:t>3</w:t>
            </w:r>
          </w:p>
        </w:tc>
      </w:tr>
      <w:tr w:rsidR="00907737" w:rsidTr="006E558A">
        <w:tc>
          <w:tcPr>
            <w:tcW w:w="7732" w:type="dxa"/>
            <w:hideMark/>
          </w:tcPr>
          <w:p w:rsidR="00907737" w:rsidRDefault="00907737" w:rsidP="006E558A">
            <w:pPr>
              <w:pStyle w:val="Heading2"/>
              <w:spacing w:before="0" w:after="0"/>
              <w:rPr>
                <w:sz w:val="22"/>
                <w:szCs w:val="22"/>
              </w:rPr>
            </w:pPr>
            <w:r>
              <w:t xml:space="preserve">V: </w:t>
            </w:r>
            <w:r w:rsidR="006E558A">
              <w:t xml:space="preserve">    </w:t>
            </w:r>
            <w:r>
              <w:t>Literary and Artistic Studies</w:t>
            </w:r>
            <w:r>
              <w:tab/>
            </w:r>
          </w:p>
        </w:tc>
        <w:tc>
          <w:tcPr>
            <w:tcW w:w="1440" w:type="dxa"/>
            <w:hideMark/>
          </w:tcPr>
          <w:p w:rsidR="00907737" w:rsidRDefault="00907737" w:rsidP="006E558A">
            <w:pPr>
              <w:jc w:val="center"/>
            </w:pPr>
            <w:r>
              <w:t>3</w:t>
            </w:r>
          </w:p>
        </w:tc>
      </w:tr>
      <w:tr w:rsidR="00907737" w:rsidTr="006E558A">
        <w:tc>
          <w:tcPr>
            <w:tcW w:w="7732" w:type="dxa"/>
            <w:hideMark/>
          </w:tcPr>
          <w:p w:rsidR="00907737" w:rsidRDefault="00907737" w:rsidP="006E558A">
            <w:pPr>
              <w:pStyle w:val="Heading2"/>
              <w:spacing w:before="0" w:after="0"/>
              <w:rPr>
                <w:sz w:val="22"/>
                <w:szCs w:val="22"/>
              </w:rPr>
            </w:pPr>
            <w:r>
              <w:t xml:space="preserve">VI: </w:t>
            </w:r>
            <w:r w:rsidR="006E558A">
              <w:t xml:space="preserve">   </w:t>
            </w:r>
            <w:r>
              <w:t>Historical and Cultural Studies</w:t>
            </w:r>
          </w:p>
        </w:tc>
        <w:tc>
          <w:tcPr>
            <w:tcW w:w="1440" w:type="dxa"/>
            <w:hideMark/>
          </w:tcPr>
          <w:p w:rsidR="00907737" w:rsidRDefault="00907737" w:rsidP="006E558A">
            <w:pPr>
              <w:jc w:val="center"/>
            </w:pPr>
            <w:r>
              <w:t>3</w:t>
            </w:r>
          </w:p>
        </w:tc>
      </w:tr>
      <w:tr w:rsidR="00907737" w:rsidTr="006E558A">
        <w:tc>
          <w:tcPr>
            <w:tcW w:w="7732" w:type="dxa"/>
            <w:hideMark/>
          </w:tcPr>
          <w:p w:rsidR="00907737" w:rsidRDefault="00907737" w:rsidP="006E558A">
            <w:pPr>
              <w:pStyle w:val="Heading2"/>
              <w:spacing w:before="0" w:after="0"/>
              <w:rPr>
                <w:sz w:val="22"/>
                <w:szCs w:val="22"/>
              </w:rPr>
            </w:pPr>
            <w:r>
              <w:t xml:space="preserve">VII:  </w:t>
            </w:r>
            <w:r w:rsidR="006E558A">
              <w:t xml:space="preserve"> </w:t>
            </w:r>
            <w:r>
              <w:t>Social Sciences</w:t>
            </w:r>
            <w:r>
              <w:tab/>
            </w:r>
          </w:p>
        </w:tc>
        <w:tc>
          <w:tcPr>
            <w:tcW w:w="1440" w:type="dxa"/>
            <w:hideMark/>
          </w:tcPr>
          <w:p w:rsidR="00907737" w:rsidRDefault="00907737" w:rsidP="006E558A">
            <w:pPr>
              <w:jc w:val="center"/>
            </w:pPr>
            <w:r>
              <w:t>3</w:t>
            </w:r>
          </w:p>
        </w:tc>
      </w:tr>
      <w:tr w:rsidR="00907737" w:rsidTr="006E558A">
        <w:tc>
          <w:tcPr>
            <w:tcW w:w="7732" w:type="dxa"/>
            <w:hideMark/>
          </w:tcPr>
          <w:p w:rsidR="00907737" w:rsidRDefault="00907737" w:rsidP="006E558A">
            <w:pPr>
              <w:pStyle w:val="Heading2"/>
              <w:spacing w:before="0" w:after="0"/>
              <w:rPr>
                <w:sz w:val="22"/>
                <w:szCs w:val="22"/>
              </w:rPr>
            </w:pPr>
            <w:r>
              <w:t>VIII:  Ethics and Human Values</w:t>
            </w:r>
            <w:r>
              <w:tab/>
            </w:r>
          </w:p>
        </w:tc>
        <w:tc>
          <w:tcPr>
            <w:tcW w:w="1440" w:type="dxa"/>
            <w:hideMark/>
          </w:tcPr>
          <w:p w:rsidR="00907737" w:rsidRDefault="00907737" w:rsidP="006E558A">
            <w:pPr>
              <w:jc w:val="center"/>
            </w:pPr>
            <w:r>
              <w:t>3</w:t>
            </w:r>
          </w:p>
        </w:tc>
      </w:tr>
      <w:tr w:rsidR="00907737" w:rsidTr="006E558A">
        <w:tc>
          <w:tcPr>
            <w:tcW w:w="7732" w:type="dxa"/>
            <w:hideMark/>
          </w:tcPr>
          <w:p w:rsidR="00907737" w:rsidRDefault="00907737" w:rsidP="006E558A">
            <w:pPr>
              <w:pStyle w:val="Heading2"/>
              <w:spacing w:before="0" w:after="0"/>
              <w:rPr>
                <w:sz w:val="22"/>
                <w:szCs w:val="22"/>
              </w:rPr>
            </w:pPr>
            <w:r>
              <w:t xml:space="preserve">IX: </w:t>
            </w:r>
            <w:r w:rsidR="00071077" w:rsidRPr="00D90124">
              <w:rPr>
                <w:strike/>
              </w:rPr>
              <w:t>American and European Perspectives</w:t>
            </w:r>
            <w:r w:rsidR="00071077">
              <w:rPr>
                <w:strike/>
              </w:rPr>
              <w:t xml:space="preserve"> </w:t>
            </w:r>
            <w:r w:rsidR="00071077" w:rsidRPr="006E558A">
              <w:t>Democracy &amp; Citizenship</w:t>
            </w:r>
          </w:p>
        </w:tc>
        <w:tc>
          <w:tcPr>
            <w:tcW w:w="1440" w:type="dxa"/>
            <w:hideMark/>
          </w:tcPr>
          <w:p w:rsidR="00907737" w:rsidRDefault="00907737" w:rsidP="006E558A">
            <w:pPr>
              <w:jc w:val="center"/>
            </w:pPr>
            <w:r>
              <w:t>3</w:t>
            </w:r>
          </w:p>
        </w:tc>
      </w:tr>
      <w:tr w:rsidR="00907737" w:rsidTr="006E558A">
        <w:tc>
          <w:tcPr>
            <w:tcW w:w="7732" w:type="dxa"/>
            <w:hideMark/>
          </w:tcPr>
          <w:p w:rsidR="00907737" w:rsidRDefault="00907737" w:rsidP="006E558A">
            <w:pPr>
              <w:pStyle w:val="Heading2"/>
              <w:spacing w:before="0" w:after="0"/>
              <w:rPr>
                <w:sz w:val="22"/>
                <w:szCs w:val="22"/>
              </w:rPr>
            </w:pPr>
            <w:r>
              <w:t xml:space="preserve">X: </w:t>
            </w:r>
            <w:r w:rsidR="00071077" w:rsidRPr="00D90124">
              <w:rPr>
                <w:strike/>
              </w:rPr>
              <w:t>Indigenous and Global Perspectives</w:t>
            </w:r>
            <w:r w:rsidR="00071077">
              <w:rPr>
                <w:strike/>
              </w:rPr>
              <w:t xml:space="preserve"> </w:t>
            </w:r>
            <w:r w:rsidR="00071077" w:rsidRPr="001A11B2">
              <w:t>Cultural &amp; International Diversity</w:t>
            </w:r>
          </w:p>
        </w:tc>
        <w:tc>
          <w:tcPr>
            <w:tcW w:w="1440" w:type="dxa"/>
            <w:hideMark/>
          </w:tcPr>
          <w:p w:rsidR="00907737" w:rsidRDefault="00907737" w:rsidP="006E558A">
            <w:pPr>
              <w:jc w:val="center"/>
            </w:pPr>
            <w:r>
              <w:t>3</w:t>
            </w:r>
          </w:p>
        </w:tc>
      </w:tr>
      <w:tr w:rsidR="00907737" w:rsidTr="006E558A">
        <w:trPr>
          <w:trHeight w:val="557"/>
        </w:trPr>
        <w:tc>
          <w:tcPr>
            <w:tcW w:w="7732" w:type="dxa"/>
            <w:hideMark/>
          </w:tcPr>
          <w:p w:rsidR="00907737" w:rsidRDefault="00907737" w:rsidP="006E558A">
            <w:pPr>
              <w:ind w:firstLine="0"/>
            </w:pPr>
            <w:r w:rsidRPr="00A435C1">
              <w:rPr>
                <w:rStyle w:val="Heading2Char"/>
              </w:rPr>
              <w:t xml:space="preserve">XI:  </w:t>
            </w:r>
            <w:r w:rsidR="006E558A">
              <w:rPr>
                <w:rStyle w:val="Heading2Char"/>
              </w:rPr>
              <w:t xml:space="preserve">  </w:t>
            </w:r>
            <w:r w:rsidRPr="00A435C1">
              <w:rPr>
                <w:rStyle w:val="Heading2Char"/>
              </w:rPr>
              <w:t>Natural Sciences</w:t>
            </w:r>
            <w:r>
              <w:br/>
            </w:r>
            <w:r w:rsidR="006E558A">
              <w:t xml:space="preserve">          </w:t>
            </w:r>
            <w:r>
              <w:t xml:space="preserve">One course must include a laboratory experience.                                                                                                                                               </w:t>
            </w:r>
            <w:r>
              <w:br/>
              <w:t xml:space="preserve">                                                                                                                                      </w:t>
            </w:r>
            <w:r w:rsidRPr="00071077">
              <w:rPr>
                <w:strike/>
              </w:rPr>
              <w:t>Total</w:t>
            </w:r>
          </w:p>
        </w:tc>
        <w:tc>
          <w:tcPr>
            <w:tcW w:w="1440" w:type="dxa"/>
            <w:hideMark/>
          </w:tcPr>
          <w:p w:rsidR="006E558A" w:rsidRDefault="00907737" w:rsidP="006E558A">
            <w:pPr>
              <w:jc w:val="center"/>
              <w:rPr>
                <w:strike/>
              </w:rPr>
            </w:pPr>
            <w:r>
              <w:t>6</w:t>
            </w:r>
            <w:r>
              <w:br/>
            </w:r>
          </w:p>
          <w:p w:rsidR="00907737" w:rsidRDefault="00907737" w:rsidP="006E558A">
            <w:pPr>
              <w:jc w:val="center"/>
            </w:pPr>
            <w:r w:rsidRPr="00071077">
              <w:rPr>
                <w:strike/>
              </w:rPr>
              <w:t>28-49</w:t>
            </w:r>
          </w:p>
        </w:tc>
      </w:tr>
    </w:tbl>
    <w:p w:rsidR="00907737" w:rsidRDefault="00907737" w:rsidP="00907737"/>
    <w:p w:rsidR="00071077" w:rsidRPr="00D90124" w:rsidRDefault="00205B1A" w:rsidP="006E558A">
      <w:pPr>
        <w:ind w:firstLine="0"/>
        <w:rPr>
          <w:strike/>
        </w:rPr>
      </w:pPr>
      <w:bookmarkStart w:id="0" w:name="_GoBack"/>
      <w:bookmarkEnd w:id="0"/>
      <w:r>
        <w:rPr>
          <w:rStyle w:val="Heading2Char"/>
        </w:rPr>
        <w:t>Conditions</w:t>
      </w:r>
      <w:r w:rsidRPr="00205B1A">
        <w:rPr>
          <w:rStyle w:val="Heading2Char"/>
        </w:rPr>
        <w:t xml:space="preserve"> </w:t>
      </w:r>
      <w:r>
        <w:br/>
      </w:r>
      <w:r w:rsidR="00071077">
        <w:t xml:space="preserve">All General Education courses must be at least 3 credits, must be introductory and foundational, and have no more than one pre-requisite.  </w:t>
      </w:r>
      <w:r w:rsidR="00071077" w:rsidRPr="00450B52">
        <w:rPr>
          <w:u w:val="single"/>
        </w:rPr>
        <w:t xml:space="preserve">Normally, general education courses </w:t>
      </w:r>
      <w:proofErr w:type="gramStart"/>
      <w:r w:rsidR="00071077" w:rsidRPr="00450B52">
        <w:rPr>
          <w:u w:val="single"/>
        </w:rPr>
        <w:t>are numbered</w:t>
      </w:r>
      <w:proofErr w:type="gramEnd"/>
      <w:r w:rsidR="00071077" w:rsidRPr="00450B52">
        <w:rPr>
          <w:u w:val="single"/>
        </w:rPr>
        <w:t xml:space="preserve"> in the 100-300 levels.</w:t>
      </w:r>
      <w:r w:rsidR="00071077">
        <w:t xml:space="preserve"> The General Education Committee may allow exceptions for </w:t>
      </w:r>
      <w:r w:rsidR="00071077" w:rsidRPr="00450B52">
        <w:rPr>
          <w:u w:val="single"/>
        </w:rPr>
        <w:t>400-</w:t>
      </w:r>
      <w:proofErr w:type="gramStart"/>
      <w:r w:rsidR="00071077" w:rsidRPr="00450B52">
        <w:rPr>
          <w:u w:val="single"/>
        </w:rPr>
        <w:t>level</w:t>
      </w:r>
      <w:r w:rsidR="00071077">
        <w:t xml:space="preserve">  </w:t>
      </w:r>
      <w:r w:rsidR="00071077" w:rsidRPr="007B5932">
        <w:rPr>
          <w:strike/>
        </w:rPr>
        <w:t>upper</w:t>
      </w:r>
      <w:proofErr w:type="gramEnd"/>
      <w:r w:rsidR="00071077" w:rsidRPr="007B5932">
        <w:rPr>
          <w:strike/>
        </w:rPr>
        <w:t>-division</w:t>
      </w:r>
      <w:r w:rsidR="00071077">
        <w:t xml:space="preserve"> courses, courses fewer than three credits, and for courses with more than one-prerequisite, if the </w:t>
      </w:r>
      <w:r w:rsidR="00071077">
        <w:lastRenderedPageBreak/>
        <w:t xml:space="preserve">proposing unit can justify such an exception. Some courses may satisfy more than one group (see list in </w:t>
      </w:r>
      <w:hyperlink r:id="rId9" w:history="1">
        <w:r w:rsidR="00071077" w:rsidRPr="001A11B2">
          <w:rPr>
            <w:rStyle w:val="Hyperlink"/>
          </w:rPr>
          <w:t>catalog</w:t>
        </w:r>
      </w:hyperlink>
      <w:r w:rsidR="00071077">
        <w:t xml:space="preserve">). </w:t>
      </w:r>
    </w:p>
    <w:p w:rsidR="00071077" w:rsidRPr="00D90124" w:rsidRDefault="00071077" w:rsidP="00071077">
      <w:pPr>
        <w:pStyle w:val="ListParagraph"/>
        <w:numPr>
          <w:ilvl w:val="0"/>
          <w:numId w:val="34"/>
        </w:numPr>
        <w:rPr>
          <w:strike/>
        </w:rPr>
      </w:pPr>
      <w:r w:rsidRPr="00D90124">
        <w:rPr>
          <w:strike/>
        </w:rPr>
        <w:t>Some courses may satisfy both the “Writing Course” requirement (I.2) and one of the Groups IV through XI.</w:t>
      </w:r>
    </w:p>
    <w:p w:rsidR="00071077" w:rsidRPr="00D90124" w:rsidRDefault="00071077" w:rsidP="00071077">
      <w:pPr>
        <w:pStyle w:val="ListParagraph"/>
        <w:numPr>
          <w:ilvl w:val="0"/>
          <w:numId w:val="34"/>
        </w:numPr>
        <w:rPr>
          <w:strike/>
        </w:rPr>
      </w:pPr>
      <w:r w:rsidRPr="00D90124">
        <w:rPr>
          <w:strike/>
        </w:rPr>
        <w:t>Some courses may satisfy both Group II and Group III Symbolic Systems.</w:t>
      </w:r>
    </w:p>
    <w:p w:rsidR="00071077" w:rsidRPr="00D90124" w:rsidRDefault="00071077" w:rsidP="00071077">
      <w:pPr>
        <w:pStyle w:val="ListParagraph"/>
        <w:numPr>
          <w:ilvl w:val="0"/>
          <w:numId w:val="34"/>
        </w:numPr>
        <w:rPr>
          <w:strike/>
        </w:rPr>
      </w:pPr>
      <w:r w:rsidRPr="00D90124">
        <w:rPr>
          <w:strike/>
        </w:rPr>
        <w:t>Some courses may satisfy both Group IX and one of the Groups IV through VIII.</w:t>
      </w:r>
    </w:p>
    <w:p w:rsidR="00071077" w:rsidRPr="00D90124" w:rsidRDefault="00071077" w:rsidP="00071077">
      <w:pPr>
        <w:pStyle w:val="ListParagraph"/>
        <w:numPr>
          <w:ilvl w:val="0"/>
          <w:numId w:val="34"/>
        </w:numPr>
        <w:rPr>
          <w:strike/>
        </w:rPr>
      </w:pPr>
      <w:r w:rsidRPr="00D90124">
        <w:rPr>
          <w:strike/>
        </w:rPr>
        <w:t>Some courses may satisfy both Group X and one of the Groups IV through VIII.</w:t>
      </w:r>
    </w:p>
    <w:p w:rsidR="00071077" w:rsidRPr="00D90124" w:rsidRDefault="00071077" w:rsidP="00071077">
      <w:pPr>
        <w:pStyle w:val="ListParagraph"/>
        <w:numPr>
          <w:ilvl w:val="0"/>
          <w:numId w:val="34"/>
        </w:numPr>
        <w:rPr>
          <w:strike/>
        </w:rPr>
      </w:pPr>
      <w:r w:rsidRPr="00D90124">
        <w:rPr>
          <w:strike/>
        </w:rPr>
        <w:t>No course may satisfy both Group IX and Group X</w:t>
      </w:r>
    </w:p>
    <w:p w:rsidR="00071077" w:rsidRDefault="00071077" w:rsidP="00071077">
      <w:pPr>
        <w:rPr>
          <w:rFonts w:eastAsia="Times New Roman"/>
        </w:rPr>
      </w:pPr>
    </w:p>
    <w:p w:rsidR="00907737" w:rsidRDefault="00907737" w:rsidP="00071077">
      <w:pPr>
        <w:ind w:firstLine="0"/>
        <w:rPr>
          <w:rFonts w:cs="Arial"/>
          <w:noProof/>
        </w:rPr>
      </w:pPr>
    </w:p>
    <w:p w:rsidR="00907737" w:rsidRDefault="00907737" w:rsidP="00907737">
      <w:pPr>
        <w:spacing w:before="100" w:beforeAutospacing="1" w:after="100" w:afterAutospacing="1"/>
        <w:rPr>
          <w:rFonts w:cs="Arial"/>
          <w:noProof/>
        </w:rPr>
      </w:pPr>
    </w:p>
    <w:p w:rsidR="00CA59B9" w:rsidRDefault="00CA59B9" w:rsidP="00907737">
      <w:pPr>
        <w:spacing w:before="100" w:beforeAutospacing="1" w:after="100" w:afterAutospacing="1"/>
        <w:rPr>
          <w:rFonts w:eastAsia="Times New Roman"/>
        </w:rPr>
      </w:pPr>
    </w:p>
    <w:p w:rsidR="00450B52" w:rsidRDefault="00450B52" w:rsidP="00907737">
      <w:pPr>
        <w:spacing w:before="100" w:beforeAutospacing="1" w:after="100" w:afterAutospacing="1"/>
        <w:rPr>
          <w:rFonts w:eastAsia="Times New Roman"/>
        </w:rPr>
      </w:pPr>
    </w:p>
    <w:sectPr w:rsidR="00450B52" w:rsidSect="0058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CE5"/>
    <w:multiLevelType w:val="hybridMultilevel"/>
    <w:tmpl w:val="7128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7D90"/>
    <w:multiLevelType w:val="singleLevel"/>
    <w:tmpl w:val="914EC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3AE6845"/>
    <w:multiLevelType w:val="hybridMultilevel"/>
    <w:tmpl w:val="F4480CB4"/>
    <w:lvl w:ilvl="0" w:tplc="DA8CA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37A24"/>
    <w:multiLevelType w:val="hybridMultilevel"/>
    <w:tmpl w:val="85942570"/>
    <w:lvl w:ilvl="0" w:tplc="F77A938A">
      <w:start w:val="1"/>
      <w:numFmt w:val="bullet"/>
      <w:lvlText w:val=""/>
      <w:lvlJc w:val="left"/>
      <w:pPr>
        <w:tabs>
          <w:tab w:val="num" w:pos="792"/>
        </w:tabs>
        <w:ind w:left="792" w:hanging="216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06994412"/>
    <w:multiLevelType w:val="hybridMultilevel"/>
    <w:tmpl w:val="3E1C3A16"/>
    <w:lvl w:ilvl="0" w:tplc="0409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5" w15:restartNumberingAfterBreak="0">
    <w:nsid w:val="07335A81"/>
    <w:multiLevelType w:val="singleLevel"/>
    <w:tmpl w:val="9556AF0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6" w15:restartNumberingAfterBreak="0">
    <w:nsid w:val="0D646AA7"/>
    <w:multiLevelType w:val="singleLevel"/>
    <w:tmpl w:val="B2FE3E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 w15:restartNumberingAfterBreak="0">
    <w:nsid w:val="179B54F3"/>
    <w:multiLevelType w:val="hybridMultilevel"/>
    <w:tmpl w:val="B038F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20DD"/>
    <w:multiLevelType w:val="hybridMultilevel"/>
    <w:tmpl w:val="10E44E5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235365CF"/>
    <w:multiLevelType w:val="hybridMultilevel"/>
    <w:tmpl w:val="10FE5DB6"/>
    <w:lvl w:ilvl="0" w:tplc="AE34A976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B82D6A"/>
    <w:multiLevelType w:val="singleLevel"/>
    <w:tmpl w:val="F9A48A2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30944D5E"/>
    <w:multiLevelType w:val="multilevel"/>
    <w:tmpl w:val="82FE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085ABF"/>
    <w:multiLevelType w:val="multilevel"/>
    <w:tmpl w:val="12A4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F2DCD"/>
    <w:multiLevelType w:val="hybridMultilevel"/>
    <w:tmpl w:val="AD70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1AB9"/>
    <w:multiLevelType w:val="singleLevel"/>
    <w:tmpl w:val="D27EA6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5" w15:restartNumberingAfterBreak="0">
    <w:nsid w:val="42E353C8"/>
    <w:multiLevelType w:val="hybridMultilevel"/>
    <w:tmpl w:val="B68CC7E4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49075226"/>
    <w:multiLevelType w:val="hybridMultilevel"/>
    <w:tmpl w:val="7654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67786"/>
    <w:multiLevelType w:val="hybridMultilevel"/>
    <w:tmpl w:val="10DE8D5E"/>
    <w:lvl w:ilvl="0" w:tplc="804A062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44A97"/>
    <w:multiLevelType w:val="hybridMultilevel"/>
    <w:tmpl w:val="89CAA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197FB0"/>
    <w:multiLevelType w:val="hybridMultilevel"/>
    <w:tmpl w:val="B8BA4120"/>
    <w:lvl w:ilvl="0" w:tplc="AE34A976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061B88"/>
    <w:multiLevelType w:val="hybridMultilevel"/>
    <w:tmpl w:val="9B98B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C4846"/>
    <w:multiLevelType w:val="hybridMultilevel"/>
    <w:tmpl w:val="D938C6FC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2" w15:restartNumberingAfterBreak="0">
    <w:nsid w:val="569303BE"/>
    <w:multiLevelType w:val="hybridMultilevel"/>
    <w:tmpl w:val="1FCE9DEE"/>
    <w:lvl w:ilvl="0" w:tplc="E1F4F7D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84C3C"/>
    <w:multiLevelType w:val="hybridMultilevel"/>
    <w:tmpl w:val="E26CD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70A31"/>
    <w:multiLevelType w:val="hybridMultilevel"/>
    <w:tmpl w:val="C6E8699E"/>
    <w:lvl w:ilvl="0" w:tplc="DE70FC1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u w:val="none"/>
      </w:rPr>
    </w:lvl>
    <w:lvl w:ilvl="1" w:tplc="AE34A976">
      <w:start w:val="1"/>
      <w:numFmt w:val="decimal"/>
      <w:lvlText w:val="(%2)"/>
      <w:lvlJc w:val="left"/>
      <w:pPr>
        <w:ind w:left="1800" w:hanging="360"/>
      </w:pPr>
      <w:rPr>
        <w:rFonts w:ascii="Arial" w:hAnsi="Arial" w:cs="Arial" w:hint="default"/>
        <w:b w:val="0"/>
        <w:color w:val="313131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94C5F"/>
    <w:multiLevelType w:val="hybridMultilevel"/>
    <w:tmpl w:val="61740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963C5"/>
    <w:multiLevelType w:val="multilevel"/>
    <w:tmpl w:val="B65A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882E01"/>
    <w:multiLevelType w:val="hybridMultilevel"/>
    <w:tmpl w:val="1150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F5D81"/>
    <w:multiLevelType w:val="hybridMultilevel"/>
    <w:tmpl w:val="B4E2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11CE"/>
    <w:multiLevelType w:val="multilevel"/>
    <w:tmpl w:val="86D0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6C3443"/>
    <w:multiLevelType w:val="hybridMultilevel"/>
    <w:tmpl w:val="B6E619AC"/>
    <w:lvl w:ilvl="0" w:tplc="DB0872DA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37EB6"/>
    <w:multiLevelType w:val="multilevel"/>
    <w:tmpl w:val="D0C4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E1351D"/>
    <w:multiLevelType w:val="hybridMultilevel"/>
    <w:tmpl w:val="E9BC6FBA"/>
    <w:lvl w:ilvl="0" w:tplc="9E269836">
      <w:start w:val="1"/>
      <w:numFmt w:val="upperLetter"/>
      <w:lvlText w:val="%1."/>
      <w:lvlJc w:val="left"/>
      <w:pPr>
        <w:ind w:left="1080" w:hanging="360"/>
      </w:pPr>
      <w:rPr>
        <w:rFonts w:ascii="Arial" w:eastAsia="Calibri" w:hAnsi="Arial" w:cs="Arial"/>
        <w:b w:val="0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8556A8"/>
    <w:multiLevelType w:val="hybridMultilevel"/>
    <w:tmpl w:val="47E8F4F4"/>
    <w:lvl w:ilvl="0" w:tplc="E4F41378">
      <w:start w:val="2"/>
      <w:numFmt w:val="decimal"/>
      <w:lvlText w:val="(%1.)"/>
      <w:lvlJc w:val="left"/>
      <w:pPr>
        <w:ind w:left="108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lvl w:ilvl="0">
        <w:numFmt w:val="upperRoman"/>
        <w:lvlText w:val="%1."/>
        <w:lvlJc w:val="right"/>
      </w:lvl>
    </w:lvlOverride>
  </w:num>
  <w:num w:numId="2">
    <w:abstractNumId w:val="26"/>
  </w:num>
  <w:num w:numId="3">
    <w:abstractNumId w:val="11"/>
  </w:num>
  <w:num w:numId="4">
    <w:abstractNumId w:val="32"/>
  </w:num>
  <w:num w:numId="5">
    <w:abstractNumId w:val="33"/>
  </w:num>
  <w:num w:numId="6">
    <w:abstractNumId w:val="17"/>
  </w:num>
  <w:num w:numId="7">
    <w:abstractNumId w:val="24"/>
  </w:num>
  <w:num w:numId="8">
    <w:abstractNumId w:val="19"/>
  </w:num>
  <w:num w:numId="9">
    <w:abstractNumId w:val="9"/>
  </w:num>
  <w:num w:numId="10">
    <w:abstractNumId w:val="30"/>
  </w:num>
  <w:num w:numId="11">
    <w:abstractNumId w:val="7"/>
  </w:num>
  <w:num w:numId="12">
    <w:abstractNumId w:val="3"/>
  </w:num>
  <w:num w:numId="13">
    <w:abstractNumId w:val="1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8"/>
  </w:num>
  <w:num w:numId="21">
    <w:abstractNumId w:val="27"/>
  </w:num>
  <w:num w:numId="22">
    <w:abstractNumId w:val="15"/>
  </w:num>
  <w:num w:numId="23">
    <w:abstractNumId w:val="28"/>
  </w:num>
  <w:num w:numId="24">
    <w:abstractNumId w:val="21"/>
  </w:num>
  <w:num w:numId="25">
    <w:abstractNumId w:val="23"/>
  </w:num>
  <w:num w:numId="26">
    <w:abstractNumId w:val="2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94"/>
    <w:rsid w:val="00013186"/>
    <w:rsid w:val="00050949"/>
    <w:rsid w:val="00071077"/>
    <w:rsid w:val="000721FA"/>
    <w:rsid w:val="00073E2B"/>
    <w:rsid w:val="000F419B"/>
    <w:rsid w:val="00100B1D"/>
    <w:rsid w:val="00111C0E"/>
    <w:rsid w:val="00146F92"/>
    <w:rsid w:val="001664B7"/>
    <w:rsid w:val="0019128D"/>
    <w:rsid w:val="00193577"/>
    <w:rsid w:val="0019758C"/>
    <w:rsid w:val="001C2E40"/>
    <w:rsid w:val="001E20D7"/>
    <w:rsid w:val="00205B1A"/>
    <w:rsid w:val="002071FD"/>
    <w:rsid w:val="0024248D"/>
    <w:rsid w:val="002570C9"/>
    <w:rsid w:val="00273BB0"/>
    <w:rsid w:val="00281DDB"/>
    <w:rsid w:val="002E3612"/>
    <w:rsid w:val="002F1FFC"/>
    <w:rsid w:val="003000B0"/>
    <w:rsid w:val="00302297"/>
    <w:rsid w:val="003200C4"/>
    <w:rsid w:val="003229C4"/>
    <w:rsid w:val="00324A01"/>
    <w:rsid w:val="00372968"/>
    <w:rsid w:val="00380803"/>
    <w:rsid w:val="003A71B0"/>
    <w:rsid w:val="003B718A"/>
    <w:rsid w:val="003C34CB"/>
    <w:rsid w:val="003D6667"/>
    <w:rsid w:val="003E24AF"/>
    <w:rsid w:val="00413C92"/>
    <w:rsid w:val="00432B02"/>
    <w:rsid w:val="004418A7"/>
    <w:rsid w:val="0044234A"/>
    <w:rsid w:val="004504F5"/>
    <w:rsid w:val="00450B52"/>
    <w:rsid w:val="0047678D"/>
    <w:rsid w:val="0049335C"/>
    <w:rsid w:val="00495C08"/>
    <w:rsid w:val="00495F23"/>
    <w:rsid w:val="004A6F6F"/>
    <w:rsid w:val="004B0FD5"/>
    <w:rsid w:val="004B5E58"/>
    <w:rsid w:val="004D5F07"/>
    <w:rsid w:val="004F7E75"/>
    <w:rsid w:val="00547F1B"/>
    <w:rsid w:val="00557A60"/>
    <w:rsid w:val="00560C0D"/>
    <w:rsid w:val="00573925"/>
    <w:rsid w:val="005812FA"/>
    <w:rsid w:val="00587BDE"/>
    <w:rsid w:val="00596155"/>
    <w:rsid w:val="005F023E"/>
    <w:rsid w:val="005F0B83"/>
    <w:rsid w:val="005F3DAE"/>
    <w:rsid w:val="0065113E"/>
    <w:rsid w:val="00652475"/>
    <w:rsid w:val="00665CF6"/>
    <w:rsid w:val="00670FC7"/>
    <w:rsid w:val="006739F6"/>
    <w:rsid w:val="00674DDA"/>
    <w:rsid w:val="00696B96"/>
    <w:rsid w:val="006A1988"/>
    <w:rsid w:val="006A471B"/>
    <w:rsid w:val="006D0636"/>
    <w:rsid w:val="006D3651"/>
    <w:rsid w:val="006D463A"/>
    <w:rsid w:val="006E19A5"/>
    <w:rsid w:val="006E558A"/>
    <w:rsid w:val="006E5A78"/>
    <w:rsid w:val="006F2825"/>
    <w:rsid w:val="00713C59"/>
    <w:rsid w:val="007408BF"/>
    <w:rsid w:val="00790566"/>
    <w:rsid w:val="00797A9E"/>
    <w:rsid w:val="007B5932"/>
    <w:rsid w:val="007C002A"/>
    <w:rsid w:val="007D7714"/>
    <w:rsid w:val="007E026C"/>
    <w:rsid w:val="007F7282"/>
    <w:rsid w:val="008202A8"/>
    <w:rsid w:val="00846FAB"/>
    <w:rsid w:val="00882179"/>
    <w:rsid w:val="008942F3"/>
    <w:rsid w:val="008B73BD"/>
    <w:rsid w:val="008C0E99"/>
    <w:rsid w:val="008D0EB4"/>
    <w:rsid w:val="008D2F97"/>
    <w:rsid w:val="00907737"/>
    <w:rsid w:val="00911573"/>
    <w:rsid w:val="00913694"/>
    <w:rsid w:val="0092488E"/>
    <w:rsid w:val="009C72C9"/>
    <w:rsid w:val="009F0D09"/>
    <w:rsid w:val="00A26D0A"/>
    <w:rsid w:val="00A4119E"/>
    <w:rsid w:val="00A435C1"/>
    <w:rsid w:val="00A71CBA"/>
    <w:rsid w:val="00A770C7"/>
    <w:rsid w:val="00A936B3"/>
    <w:rsid w:val="00A97E95"/>
    <w:rsid w:val="00AC67E0"/>
    <w:rsid w:val="00AE035B"/>
    <w:rsid w:val="00B04190"/>
    <w:rsid w:val="00B61468"/>
    <w:rsid w:val="00B61A09"/>
    <w:rsid w:val="00BB118E"/>
    <w:rsid w:val="00BB7B3D"/>
    <w:rsid w:val="00BC302F"/>
    <w:rsid w:val="00BD3A63"/>
    <w:rsid w:val="00BE68B0"/>
    <w:rsid w:val="00C32ADA"/>
    <w:rsid w:val="00C64585"/>
    <w:rsid w:val="00CA154F"/>
    <w:rsid w:val="00CA59B9"/>
    <w:rsid w:val="00CB01F1"/>
    <w:rsid w:val="00CC4242"/>
    <w:rsid w:val="00D137E4"/>
    <w:rsid w:val="00D4252B"/>
    <w:rsid w:val="00D42F17"/>
    <w:rsid w:val="00D472C1"/>
    <w:rsid w:val="00D5487C"/>
    <w:rsid w:val="00D6165E"/>
    <w:rsid w:val="00DA611C"/>
    <w:rsid w:val="00DB0E2E"/>
    <w:rsid w:val="00DC7D8F"/>
    <w:rsid w:val="00DE32D3"/>
    <w:rsid w:val="00E108BB"/>
    <w:rsid w:val="00E47214"/>
    <w:rsid w:val="00E47836"/>
    <w:rsid w:val="00E67679"/>
    <w:rsid w:val="00E72148"/>
    <w:rsid w:val="00E9399A"/>
    <w:rsid w:val="00EE475A"/>
    <w:rsid w:val="00EE7177"/>
    <w:rsid w:val="00F11F0D"/>
    <w:rsid w:val="00F14C5E"/>
    <w:rsid w:val="00F25E28"/>
    <w:rsid w:val="00F33083"/>
    <w:rsid w:val="00F83DAD"/>
    <w:rsid w:val="00F938D1"/>
    <w:rsid w:val="00F94E42"/>
    <w:rsid w:val="00FA2456"/>
    <w:rsid w:val="00FA32C5"/>
    <w:rsid w:val="00FA5733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6585"/>
  <w15:docId w15:val="{49D56CA7-6220-4C5D-BAE0-5C7DC302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79"/>
  </w:style>
  <w:style w:type="paragraph" w:styleId="Heading1">
    <w:name w:val="heading 1"/>
    <w:basedOn w:val="Normal"/>
    <w:next w:val="Normal"/>
    <w:link w:val="Heading1Char"/>
    <w:uiPriority w:val="9"/>
    <w:qFormat/>
    <w:rsid w:val="00E67679"/>
    <w:pPr>
      <w:pBdr>
        <w:bottom w:val="single" w:sz="12" w:space="1" w:color="65281B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56"/>
    <w:pP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65281B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56"/>
    <w:pP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56"/>
    <w:pP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67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87362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67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87362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67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0BE40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67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0BE40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67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0BE40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245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2456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67679"/>
    <w:rPr>
      <w:b/>
      <w:bCs/>
      <w:spacing w:val="0"/>
    </w:rPr>
  </w:style>
  <w:style w:type="character" w:styleId="Emphasis">
    <w:name w:val="Emphasis"/>
    <w:uiPriority w:val="20"/>
    <w:qFormat/>
    <w:rsid w:val="00E67679"/>
    <w:rPr>
      <w:b/>
      <w:bCs/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111C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6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2456"/>
    <w:rPr>
      <w:rFonts w:asciiTheme="majorHAnsi" w:eastAsiaTheme="majorEastAsia" w:hAnsiTheme="majorHAnsi" w:cstheme="majorBidi"/>
      <w:color w:val="65281B" w:themeColor="accent1" w:themeShade="BF"/>
      <w:sz w:val="24"/>
      <w:szCs w:val="24"/>
    </w:rPr>
  </w:style>
  <w:style w:type="paragraph" w:styleId="Header">
    <w:name w:val="header"/>
    <w:basedOn w:val="Normal"/>
    <w:link w:val="HeaderChar"/>
    <w:semiHidden/>
    <w:rsid w:val="0065113E"/>
    <w:pPr>
      <w:widowControl w:val="0"/>
      <w:tabs>
        <w:tab w:val="center" w:pos="4320"/>
        <w:tab w:val="right" w:pos="8640"/>
      </w:tabs>
    </w:pPr>
    <w:rPr>
      <w:rFonts w:ascii="Courier" w:eastAsia="Times New Roman" w:hAnsi="Courier"/>
      <w:snapToGrid w:val="0"/>
      <w:sz w:val="24"/>
      <w:szCs w:val="20"/>
    </w:rPr>
  </w:style>
  <w:style w:type="character" w:customStyle="1" w:styleId="HeaderChar">
    <w:name w:val="Header Char"/>
    <w:link w:val="Header"/>
    <w:semiHidden/>
    <w:rsid w:val="0065113E"/>
    <w:rPr>
      <w:rFonts w:ascii="Courier" w:eastAsia="Times New Roman" w:hAnsi="Courier" w:cs="Times New Roman"/>
      <w:snapToGrid/>
      <w:sz w:val="24"/>
      <w:szCs w:val="20"/>
    </w:rPr>
  </w:style>
  <w:style w:type="character" w:styleId="Hyperlink">
    <w:name w:val="Hyperlink"/>
    <w:rsid w:val="006D0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1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47678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47678D"/>
    <w:rPr>
      <w:rFonts w:ascii="Consolas" w:eastAsia="Calibri" w:hAnsi="Consolas" w:cs="Times New Roman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E67679"/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7679"/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7679"/>
    <w:rPr>
      <w:rFonts w:asciiTheme="majorHAnsi" w:eastAsiaTheme="majorEastAsia" w:hAnsiTheme="majorHAnsi" w:cstheme="majorBidi"/>
      <w:color w:val="87362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679"/>
    <w:rPr>
      <w:rFonts w:asciiTheme="majorHAnsi" w:eastAsiaTheme="majorEastAsia" w:hAnsiTheme="majorHAnsi" w:cstheme="majorBidi"/>
      <w:i/>
      <w:iCs/>
      <w:color w:val="87362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679"/>
    <w:rPr>
      <w:rFonts w:asciiTheme="majorHAnsi" w:eastAsiaTheme="majorEastAsia" w:hAnsiTheme="majorHAnsi" w:cstheme="majorBidi"/>
      <w:b/>
      <w:bCs/>
      <w:color w:val="D0BE40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679"/>
    <w:rPr>
      <w:rFonts w:asciiTheme="majorHAnsi" w:eastAsiaTheme="majorEastAsia" w:hAnsiTheme="majorHAnsi" w:cstheme="majorBidi"/>
      <w:b/>
      <w:bCs/>
      <w:i/>
      <w:iCs/>
      <w:color w:val="D0BE40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679"/>
    <w:rPr>
      <w:rFonts w:asciiTheme="majorHAnsi" w:eastAsiaTheme="majorEastAsia" w:hAnsiTheme="majorHAnsi" w:cstheme="majorBidi"/>
      <w:i/>
      <w:iCs/>
      <w:color w:val="D0BE40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7679"/>
    <w:pPr>
      <w:pBdr>
        <w:top w:val="single" w:sz="8" w:space="10" w:color="DB8B79" w:themeColor="accent1" w:themeTint="7F"/>
        <w:bottom w:val="single" w:sz="24" w:space="15" w:color="D0BE4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31A1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67679"/>
    <w:rPr>
      <w:rFonts w:asciiTheme="majorHAnsi" w:eastAsiaTheme="majorEastAsia" w:hAnsiTheme="majorHAnsi" w:cstheme="majorBidi"/>
      <w:i/>
      <w:iCs/>
      <w:color w:val="431A12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67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679"/>
    <w:rPr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6767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67679"/>
  </w:style>
  <w:style w:type="paragraph" w:styleId="Quote">
    <w:name w:val="Quote"/>
    <w:basedOn w:val="Normal"/>
    <w:next w:val="Normal"/>
    <w:link w:val="QuoteChar"/>
    <w:uiPriority w:val="29"/>
    <w:qFormat/>
    <w:rsid w:val="00E676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676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679"/>
    <w:pPr>
      <w:pBdr>
        <w:top w:val="single" w:sz="12" w:space="10" w:color="E2A293" w:themeColor="accent1" w:themeTint="66"/>
        <w:left w:val="single" w:sz="36" w:space="4" w:color="873624" w:themeColor="accent1"/>
        <w:bottom w:val="single" w:sz="24" w:space="10" w:color="D0BE40" w:themeColor="accent3"/>
        <w:right w:val="single" w:sz="36" w:space="4" w:color="873624" w:themeColor="accent1"/>
      </w:pBdr>
      <w:shd w:val="clear" w:color="auto" w:fill="87362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67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873624" w:themeFill="accent1"/>
    </w:rPr>
  </w:style>
  <w:style w:type="character" w:styleId="SubtleEmphasis">
    <w:name w:val="Subtle Emphasis"/>
    <w:uiPriority w:val="19"/>
    <w:qFormat/>
    <w:rsid w:val="00E6767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67679"/>
    <w:rPr>
      <w:b/>
      <w:bCs/>
      <w:i/>
      <w:iCs/>
      <w:color w:val="873624" w:themeColor="accent1"/>
      <w:sz w:val="22"/>
      <w:szCs w:val="22"/>
    </w:rPr>
  </w:style>
  <w:style w:type="character" w:styleId="SubtleReference">
    <w:name w:val="Subtle Reference"/>
    <w:uiPriority w:val="31"/>
    <w:qFormat/>
    <w:rsid w:val="0092488E"/>
    <w:rPr>
      <w:color w:val="873624" w:themeColor="accent1"/>
      <w:u w:val="none" w:color="D0BE40" w:themeColor="accent3"/>
    </w:rPr>
  </w:style>
  <w:style w:type="character" w:styleId="IntenseReference">
    <w:name w:val="Intense Reference"/>
    <w:basedOn w:val="DefaultParagraphFont"/>
    <w:uiPriority w:val="32"/>
    <w:qFormat/>
    <w:rsid w:val="00E67679"/>
    <w:rPr>
      <w:b/>
      <w:bCs/>
      <w:color w:val="A39328" w:themeColor="accent3" w:themeShade="BF"/>
      <w:u w:val="single" w:color="D0BE40" w:themeColor="accent3"/>
    </w:rPr>
  </w:style>
  <w:style w:type="character" w:styleId="BookTitle">
    <w:name w:val="Book Title"/>
    <w:basedOn w:val="DefaultParagraphFont"/>
    <w:uiPriority w:val="33"/>
    <w:qFormat/>
    <w:rsid w:val="00E6767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679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E108BB"/>
    <w:rPr>
      <w:b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408BF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4729">
                  <w:marLeft w:val="0"/>
                  <w:marRight w:val="0"/>
                  <w:marTop w:val="116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5759">
                          <w:marLeft w:val="0"/>
                          <w:marRight w:val="0"/>
                          <w:marTop w:val="1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9299">
                  <w:marLeft w:val="0"/>
                  <w:marRight w:val="0"/>
                  <w:marTop w:val="296"/>
                  <w:marBottom w:val="1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8105">
                          <w:marLeft w:val="0"/>
                          <w:marRight w:val="0"/>
                          <w:marTop w:val="2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632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83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78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mt.edu/academics/general-education-requirement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talog.umt.edu/academics/general-education-requirements/" TargetMode="External"/></Relationships>
</file>

<file path=word/theme/theme1.xml><?xml version="1.0" encoding="utf-8"?>
<a:theme xmlns:a="http://schemas.openxmlformats.org/drawingml/2006/main" name="Office Them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Custom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E920-0568-46EB-BDB8-27CE3876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cp:lastPrinted>2010-10-21T20:35:00Z</cp:lastPrinted>
  <dcterms:created xsi:type="dcterms:W3CDTF">2017-11-30T17:09:00Z</dcterms:created>
  <dcterms:modified xsi:type="dcterms:W3CDTF">2017-11-30T17:09:00Z</dcterms:modified>
</cp:coreProperties>
</file>